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76F25E2"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F45BE0">
        <w:rPr>
          <w:rFonts w:ascii="Arial" w:hAnsi="Arial" w:cs="Arial"/>
          <w:sz w:val="24"/>
          <w:szCs w:val="28"/>
          <w:lang w:val="en-CA"/>
        </w:rPr>
        <w:t>89</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w:t>
      </w:r>
      <w:r w:rsidR="00546A89">
        <w:rPr>
          <w:rFonts w:ascii="Arial" w:hAnsi="Arial" w:cs="Arial"/>
          <w:sz w:val="24"/>
          <w:szCs w:val="28"/>
          <w:lang w:val="en-CA"/>
        </w:rPr>
        <w:t>15913</w:t>
      </w:r>
    </w:p>
    <w:p w14:paraId="4F58942D" w14:textId="6CBA77A1" w:rsidR="00D80957" w:rsidRPr="00457F73" w:rsidRDefault="00F45BE0"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Spokane</w:t>
      </w:r>
      <w:r w:rsidR="00B14854">
        <w:rPr>
          <w:rFonts w:ascii="Arial" w:hAnsi="Arial" w:cs="Arial"/>
          <w:sz w:val="24"/>
          <w:szCs w:val="28"/>
          <w:lang w:val="en-CA"/>
        </w:rPr>
        <w:t>,</w:t>
      </w:r>
      <w:r>
        <w:rPr>
          <w:rFonts w:ascii="Arial" w:hAnsi="Arial" w:cs="Arial"/>
          <w:sz w:val="24"/>
          <w:szCs w:val="28"/>
          <w:lang w:val="en-CA"/>
        </w:rPr>
        <w:t xml:space="preserve"> US</w:t>
      </w:r>
      <w:r w:rsidR="00A2225E">
        <w:rPr>
          <w:rFonts w:ascii="Arial" w:hAnsi="Arial" w:cs="Arial"/>
          <w:sz w:val="24"/>
          <w:szCs w:val="28"/>
          <w:lang w:val="en-CA"/>
        </w:rPr>
        <w:t xml:space="preserve">, </w:t>
      </w:r>
      <w:r>
        <w:rPr>
          <w:rFonts w:ascii="Arial" w:hAnsi="Arial" w:cs="Arial"/>
          <w:sz w:val="24"/>
          <w:szCs w:val="28"/>
          <w:lang w:val="en-CA"/>
        </w:rPr>
        <w:t>November</w:t>
      </w:r>
      <w:r w:rsidR="00DF79AF">
        <w:rPr>
          <w:rFonts w:ascii="Arial" w:hAnsi="Arial" w:cs="Arial"/>
          <w:sz w:val="24"/>
          <w:szCs w:val="28"/>
          <w:lang w:val="en-CA"/>
        </w:rPr>
        <w:t xml:space="preserve"> </w:t>
      </w:r>
      <w:r>
        <w:rPr>
          <w:rFonts w:ascii="Arial" w:hAnsi="Arial" w:cs="Arial"/>
          <w:sz w:val="24"/>
          <w:szCs w:val="28"/>
          <w:lang w:val="en-CA"/>
        </w:rPr>
        <w:t>12</w:t>
      </w:r>
      <w:r w:rsidR="005B6646">
        <w:rPr>
          <w:rFonts w:ascii="Arial" w:hAnsi="Arial" w:cs="Arial"/>
          <w:sz w:val="24"/>
          <w:szCs w:val="28"/>
          <w:lang w:val="en-CA"/>
        </w:rPr>
        <w:t xml:space="preserve"> </w:t>
      </w:r>
      <w:r w:rsidR="00DF79AF">
        <w:rPr>
          <w:rFonts w:ascii="Arial" w:hAnsi="Arial" w:cs="Arial"/>
          <w:sz w:val="24"/>
          <w:szCs w:val="28"/>
          <w:lang w:val="en-CA"/>
        </w:rPr>
        <w:t xml:space="preserve">– </w:t>
      </w:r>
      <w:r>
        <w:rPr>
          <w:rFonts w:ascii="Arial" w:hAnsi="Arial" w:cs="Arial"/>
          <w:sz w:val="24"/>
          <w:szCs w:val="28"/>
          <w:lang w:val="en-CA"/>
        </w:rPr>
        <w:t>16</w:t>
      </w:r>
      <w:r w:rsidR="00DF79AF">
        <w:rPr>
          <w:rFonts w:ascii="Arial" w:hAnsi="Arial" w:cs="Arial"/>
          <w:sz w:val="24"/>
          <w:szCs w:val="28"/>
          <w:lang w:val="en-CA"/>
        </w:rPr>
        <w:t>, 2018</w:t>
      </w:r>
    </w:p>
    <w:p w14:paraId="14395BAA" w14:textId="58F0F56F"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A94A72">
        <w:rPr>
          <w:rFonts w:ascii="Arial" w:hAnsi="Arial" w:cs="Arial"/>
          <w:sz w:val="22"/>
          <w:szCs w:val="22"/>
          <w:lang w:val="en-US"/>
        </w:rPr>
        <w:t>7.11.3.1.1</w:t>
      </w:r>
      <w:bookmarkStart w:id="1" w:name="_GoBack"/>
      <w:bookmarkEnd w:id="1"/>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366147FD"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C140F5">
        <w:rPr>
          <w:rFonts w:ascii="Arial" w:hAnsi="Arial" w:cs="Arial"/>
          <w:sz w:val="22"/>
          <w:szCs w:val="22"/>
          <w:lang w:val="en-CA"/>
        </w:rPr>
        <w:t xml:space="preserve">On </w:t>
      </w:r>
      <w:r w:rsidR="00FC2AD8">
        <w:rPr>
          <w:rFonts w:ascii="Arial" w:hAnsi="Arial" w:cs="Arial"/>
          <w:sz w:val="22"/>
          <w:szCs w:val="22"/>
          <w:lang w:val="en-CA"/>
        </w:rPr>
        <w:t>Measurement Gaps and Scheduling Opportunities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40FA0E5D" w14:textId="0385FA98" w:rsidR="00572F5A" w:rsidRDefault="0039609E" w:rsidP="00364887">
      <w:pPr>
        <w:jc w:val="both"/>
        <w:rPr>
          <w:sz w:val="22"/>
          <w:lang w:val="en-CA"/>
        </w:rPr>
      </w:pPr>
      <w:r>
        <w:rPr>
          <w:sz w:val="22"/>
          <w:lang w:val="en-CA"/>
        </w:rPr>
        <w:t>At RAN4#88</w:t>
      </w:r>
      <w:r w:rsidR="003B7620">
        <w:rPr>
          <w:sz w:val="22"/>
          <w:lang w:val="en-CA"/>
        </w:rPr>
        <w:t xml:space="preserve">bis, </w:t>
      </w:r>
      <w:r w:rsidR="00CF2ADF">
        <w:rPr>
          <w:sz w:val="22"/>
          <w:lang w:val="en-CA"/>
        </w:rPr>
        <w:t xml:space="preserve">based on a way forward from earlier meeting, </w:t>
      </w:r>
      <w:r w:rsidR="00CF2ADF">
        <w:rPr>
          <w:sz w:val="22"/>
          <w:lang w:val="en-CA"/>
        </w:rPr>
        <w:fldChar w:fldCharType="begin"/>
      </w:r>
      <w:r w:rsidR="00CF2ADF">
        <w:rPr>
          <w:sz w:val="22"/>
          <w:lang w:val="en-CA"/>
        </w:rPr>
        <w:instrText xml:space="preserve"> REF _Ref524524165 \r \h </w:instrText>
      </w:r>
      <w:r w:rsidR="00CF2ADF">
        <w:rPr>
          <w:sz w:val="22"/>
          <w:lang w:val="en-CA"/>
        </w:rPr>
      </w:r>
      <w:r w:rsidR="00CF2ADF">
        <w:rPr>
          <w:sz w:val="22"/>
          <w:lang w:val="en-CA"/>
        </w:rPr>
        <w:fldChar w:fldCharType="separate"/>
      </w:r>
      <w:r w:rsidR="00C13E0D">
        <w:rPr>
          <w:sz w:val="22"/>
          <w:lang w:val="en-CA"/>
        </w:rPr>
        <w:t>[1]</w:t>
      </w:r>
      <w:r w:rsidR="00CF2ADF">
        <w:rPr>
          <w:sz w:val="22"/>
          <w:lang w:val="en-CA"/>
        </w:rPr>
        <w:fldChar w:fldCharType="end"/>
      </w:r>
      <w:r w:rsidR="00CF2ADF">
        <w:rPr>
          <w:sz w:val="22"/>
          <w:lang w:val="en-CA"/>
        </w:rPr>
        <w:t xml:space="preserve">, the </w:t>
      </w:r>
      <w:r w:rsidR="003B7620">
        <w:rPr>
          <w:sz w:val="22"/>
          <w:lang w:val="en-CA"/>
        </w:rPr>
        <w:t>UE behaviour before and after measurement gaps was discussed.</w:t>
      </w:r>
      <w:r w:rsidR="00CF2ADF">
        <w:rPr>
          <w:sz w:val="22"/>
          <w:lang w:val="en-CA"/>
        </w:rPr>
        <w:t xml:space="preserve"> Proposals were put forward </w:t>
      </w:r>
      <w:r w:rsidR="00F966E4">
        <w:rPr>
          <w:sz w:val="22"/>
          <w:lang w:val="en-CA"/>
        </w:rPr>
        <w:t xml:space="preserve">by network vendors </w:t>
      </w:r>
      <w:r w:rsidR="00CF2ADF">
        <w:rPr>
          <w:sz w:val="22"/>
          <w:lang w:val="en-CA"/>
        </w:rPr>
        <w:t xml:space="preserve">on allowing UEs to be scheduled also in the half-slots that arise </w:t>
      </w:r>
      <w:r w:rsidR="00F966E4">
        <w:rPr>
          <w:sz w:val="22"/>
          <w:lang w:val="en-CA"/>
        </w:rPr>
        <w:t xml:space="preserve">for SCS 15kHz </w:t>
      </w:r>
      <w:r w:rsidR="00CF2ADF">
        <w:rPr>
          <w:sz w:val="22"/>
          <w:lang w:val="en-CA"/>
        </w:rPr>
        <w:t xml:space="preserve">when </w:t>
      </w:r>
      <w:r w:rsidR="00F966E4">
        <w:rPr>
          <w:sz w:val="22"/>
          <w:lang w:val="en-CA"/>
        </w:rPr>
        <w:t xml:space="preserve">a measurement gap is shifted by MGTA 0.5ms </w:t>
      </w:r>
      <w:r w:rsidR="00F966E4">
        <w:rPr>
          <w:sz w:val="22"/>
          <w:lang w:val="en-CA"/>
        </w:rPr>
        <w:fldChar w:fldCharType="begin"/>
      </w:r>
      <w:r w:rsidR="00F966E4">
        <w:rPr>
          <w:sz w:val="22"/>
          <w:lang w:val="en-CA"/>
        </w:rPr>
        <w:instrText xml:space="preserve"> REF _Ref528931270 \r \h </w:instrText>
      </w:r>
      <w:r w:rsidR="00F966E4">
        <w:rPr>
          <w:sz w:val="22"/>
          <w:lang w:val="en-CA"/>
        </w:rPr>
      </w:r>
      <w:r w:rsidR="00F966E4">
        <w:rPr>
          <w:sz w:val="22"/>
          <w:lang w:val="en-CA"/>
        </w:rPr>
        <w:fldChar w:fldCharType="separate"/>
      </w:r>
      <w:r w:rsidR="00C13E0D">
        <w:rPr>
          <w:sz w:val="22"/>
          <w:lang w:val="en-CA"/>
        </w:rPr>
        <w:t>[2]</w:t>
      </w:r>
      <w:r w:rsidR="00F966E4">
        <w:rPr>
          <w:sz w:val="22"/>
          <w:lang w:val="en-CA"/>
        </w:rPr>
        <w:fldChar w:fldCharType="end"/>
      </w:r>
      <w:r w:rsidR="00F966E4">
        <w:rPr>
          <w:sz w:val="22"/>
          <w:lang w:val="en-CA"/>
        </w:rPr>
        <w:fldChar w:fldCharType="begin"/>
      </w:r>
      <w:r w:rsidR="00F966E4">
        <w:rPr>
          <w:sz w:val="22"/>
          <w:lang w:val="en-CA"/>
        </w:rPr>
        <w:instrText xml:space="preserve"> REF _Ref528931272 \r \h </w:instrText>
      </w:r>
      <w:r w:rsidR="00F966E4">
        <w:rPr>
          <w:sz w:val="22"/>
          <w:lang w:val="en-CA"/>
        </w:rPr>
      </w:r>
      <w:r w:rsidR="00F966E4">
        <w:rPr>
          <w:sz w:val="22"/>
          <w:lang w:val="en-CA"/>
        </w:rPr>
        <w:fldChar w:fldCharType="separate"/>
      </w:r>
      <w:r w:rsidR="00C13E0D">
        <w:rPr>
          <w:sz w:val="22"/>
          <w:lang w:val="en-CA"/>
        </w:rPr>
        <w:t>[3]</w:t>
      </w:r>
      <w:r w:rsidR="00F966E4">
        <w:rPr>
          <w:sz w:val="22"/>
          <w:lang w:val="en-CA"/>
        </w:rPr>
        <w:fldChar w:fldCharType="end"/>
      </w:r>
      <w:r w:rsidR="00F966E4">
        <w:rPr>
          <w:sz w:val="22"/>
          <w:lang w:val="en-CA"/>
        </w:rPr>
        <w:t xml:space="preserve">, but no conclusion was reached. The main concern from the network vendors </w:t>
      </w:r>
      <w:r w:rsidR="007209BF">
        <w:rPr>
          <w:sz w:val="22"/>
          <w:lang w:val="en-CA"/>
        </w:rPr>
        <w:t>– and hence the justification for utilizing also half-slots – i</w:t>
      </w:r>
      <w:r w:rsidR="00F966E4">
        <w:rPr>
          <w:sz w:val="22"/>
          <w:lang w:val="en-CA"/>
        </w:rPr>
        <w:t>s that the denser MGRP in NR combined with non-zero MGTA will lead to a significant</w:t>
      </w:r>
      <w:r w:rsidR="007209BF">
        <w:rPr>
          <w:sz w:val="22"/>
          <w:lang w:val="en-CA"/>
        </w:rPr>
        <w:t>ly</w:t>
      </w:r>
      <w:r w:rsidR="00F966E4">
        <w:rPr>
          <w:sz w:val="22"/>
          <w:lang w:val="en-CA"/>
        </w:rPr>
        <w:t xml:space="preserve"> reduc</w:t>
      </w:r>
      <w:r w:rsidR="007209BF">
        <w:rPr>
          <w:sz w:val="22"/>
          <w:lang w:val="en-CA"/>
        </w:rPr>
        <w:t>ed number of</w:t>
      </w:r>
      <w:r w:rsidR="00F966E4">
        <w:rPr>
          <w:sz w:val="22"/>
          <w:lang w:val="en-CA"/>
        </w:rPr>
        <w:t xml:space="preserve"> scheduling opportunities of the UE compared to in LTE.</w:t>
      </w:r>
      <w:r w:rsidR="00572F5A">
        <w:rPr>
          <w:sz w:val="22"/>
          <w:lang w:val="en-CA"/>
        </w:rPr>
        <w:t xml:space="preserve"> Concerns on the proposals from chipset vendors were mainly about that it came close to the completion of Rel-15.</w:t>
      </w:r>
    </w:p>
    <w:p w14:paraId="7B1315CF" w14:textId="56E52869" w:rsidR="00AF4894" w:rsidRDefault="00572F5A" w:rsidP="00364887">
      <w:pPr>
        <w:jc w:val="both"/>
        <w:rPr>
          <w:sz w:val="22"/>
          <w:lang w:val="en-CA"/>
        </w:rPr>
      </w:pPr>
      <w:r>
        <w:rPr>
          <w:sz w:val="22"/>
          <w:lang w:val="en-CA"/>
        </w:rPr>
        <w:t xml:space="preserve">In this contribution we are discussing the impact of measurement gaps and non-zero MGTA on scheduling opportunities in </w:t>
      </w:r>
      <w:proofErr w:type="gramStart"/>
      <w:r w:rsidR="00B03A84">
        <w:rPr>
          <w:sz w:val="22"/>
          <w:lang w:val="en-CA"/>
        </w:rPr>
        <w:t>NR, and</w:t>
      </w:r>
      <w:proofErr w:type="gramEnd"/>
      <w:r>
        <w:rPr>
          <w:sz w:val="22"/>
          <w:lang w:val="en-CA"/>
        </w:rPr>
        <w:t xml:space="preserve"> comparing it with the </w:t>
      </w:r>
      <w:r w:rsidR="00B03A84">
        <w:rPr>
          <w:sz w:val="22"/>
          <w:lang w:val="en-CA"/>
        </w:rPr>
        <w:t>history of LTE standardization.</w:t>
      </w:r>
    </w:p>
    <w:p w14:paraId="75C8156C" w14:textId="3899D1B8" w:rsidR="006A48A7" w:rsidRDefault="007A56F0" w:rsidP="006A48A7">
      <w:pPr>
        <w:pStyle w:val="Heading1"/>
        <w:ind w:left="431" w:hanging="431"/>
        <w:rPr>
          <w:szCs w:val="36"/>
          <w:lang w:val="en-CA"/>
        </w:rPr>
      </w:pPr>
      <w:r>
        <w:rPr>
          <w:szCs w:val="36"/>
          <w:lang w:val="en-CA"/>
        </w:rPr>
        <w:t>Discussion</w:t>
      </w:r>
    </w:p>
    <w:p w14:paraId="2A6D66B6" w14:textId="254BB733" w:rsidR="00EE5A9F" w:rsidRDefault="003C4A11" w:rsidP="00DA4D84">
      <w:pPr>
        <w:jc w:val="both"/>
        <w:rPr>
          <w:sz w:val="22"/>
          <w:lang w:val="en-CA"/>
        </w:rPr>
      </w:pPr>
      <w:r>
        <w:rPr>
          <w:sz w:val="22"/>
          <w:lang w:val="en-CA"/>
        </w:rPr>
        <w:t xml:space="preserve">In LTE, it was identified that the loss of scheduling opportunities when applying the shortest MGRP, 40ms, had </w:t>
      </w:r>
      <w:r w:rsidR="00B933FB">
        <w:rPr>
          <w:sz w:val="22"/>
          <w:lang w:val="en-CA"/>
        </w:rPr>
        <w:t xml:space="preserve">an </w:t>
      </w:r>
      <w:r>
        <w:rPr>
          <w:sz w:val="22"/>
          <w:lang w:val="en-CA"/>
        </w:rPr>
        <w:t xml:space="preserve">adverse impact on the system performance. Up until then, measurement gaps were all of length 6ms, resulting in that the UE could not be scheduled in 6 out of 40 DL subframes (15%). </w:t>
      </w:r>
      <w:r w:rsidR="005D61D0">
        <w:rPr>
          <w:sz w:val="22"/>
          <w:lang w:val="en-CA"/>
        </w:rPr>
        <w:t>Considering</w:t>
      </w:r>
      <w:r>
        <w:rPr>
          <w:sz w:val="22"/>
          <w:lang w:val="en-CA"/>
        </w:rPr>
        <w:t xml:space="preserve"> the fixed HARQ ACK/NACK pattern in LTE</w:t>
      </w:r>
      <w:r w:rsidR="00B933FB">
        <w:rPr>
          <w:sz w:val="22"/>
          <w:lang w:val="en-CA"/>
        </w:rPr>
        <w:t>, an</w:t>
      </w:r>
      <w:r>
        <w:rPr>
          <w:sz w:val="22"/>
          <w:lang w:val="en-CA"/>
        </w:rPr>
        <w:t xml:space="preserve"> additional 4 DL subframes before the measurement gap could not be used since the </w:t>
      </w:r>
      <w:proofErr w:type="spellStart"/>
      <w:r>
        <w:rPr>
          <w:sz w:val="22"/>
          <w:lang w:val="en-CA"/>
        </w:rPr>
        <w:t>eNB</w:t>
      </w:r>
      <w:proofErr w:type="spellEnd"/>
      <w:r>
        <w:rPr>
          <w:sz w:val="22"/>
          <w:lang w:val="en-CA"/>
        </w:rPr>
        <w:t xml:space="preserve"> could not get feedback from the UE. In all, </w:t>
      </w:r>
      <w:r w:rsidR="00BA11B7">
        <w:rPr>
          <w:sz w:val="22"/>
          <w:lang w:val="en-CA"/>
        </w:rPr>
        <w:t>it</w:t>
      </w:r>
      <w:r w:rsidR="005D61D0">
        <w:rPr>
          <w:sz w:val="22"/>
          <w:lang w:val="en-CA"/>
        </w:rPr>
        <w:t xml:space="preserve"> resulted in a 25% loss of scheduling opportunities.</w:t>
      </w:r>
      <w:r w:rsidR="00BA11B7">
        <w:rPr>
          <w:sz w:val="22"/>
          <w:lang w:val="en-CA"/>
        </w:rPr>
        <w:t xml:space="preserve"> </w:t>
      </w:r>
      <w:r w:rsidR="00B933FB">
        <w:rPr>
          <w:sz w:val="22"/>
          <w:lang w:val="en-CA"/>
        </w:rPr>
        <w:t xml:space="preserve">Efforts to improve the situation </w:t>
      </w:r>
      <w:r w:rsidR="002015B1">
        <w:rPr>
          <w:sz w:val="22"/>
          <w:lang w:val="en-CA"/>
        </w:rPr>
        <w:t xml:space="preserve">were made </w:t>
      </w:r>
      <w:r w:rsidR="00B933FB">
        <w:rPr>
          <w:sz w:val="22"/>
          <w:lang w:val="en-CA"/>
        </w:rPr>
        <w:t xml:space="preserve">in a study item </w:t>
      </w:r>
      <w:r w:rsidR="00B933FB">
        <w:rPr>
          <w:sz w:val="22"/>
          <w:lang w:val="en-CA"/>
        </w:rPr>
        <w:fldChar w:fldCharType="begin"/>
      </w:r>
      <w:r w:rsidR="00B933FB">
        <w:rPr>
          <w:sz w:val="22"/>
          <w:lang w:val="en-CA"/>
        </w:rPr>
        <w:instrText xml:space="preserve"> REF _Ref528934593 \r \h </w:instrText>
      </w:r>
      <w:r w:rsidR="00DA4D84">
        <w:rPr>
          <w:sz w:val="22"/>
          <w:lang w:val="en-CA"/>
        </w:rPr>
        <w:instrText xml:space="preserve"> \* MERGEFORMAT </w:instrText>
      </w:r>
      <w:r w:rsidR="00B933FB">
        <w:rPr>
          <w:sz w:val="22"/>
          <w:lang w:val="en-CA"/>
        </w:rPr>
      </w:r>
      <w:r w:rsidR="00B933FB">
        <w:rPr>
          <w:sz w:val="22"/>
          <w:lang w:val="en-CA"/>
        </w:rPr>
        <w:fldChar w:fldCharType="separate"/>
      </w:r>
      <w:r w:rsidR="00C13E0D">
        <w:rPr>
          <w:sz w:val="22"/>
          <w:lang w:val="en-CA"/>
        </w:rPr>
        <w:t>[4]</w:t>
      </w:r>
      <w:r w:rsidR="00B933FB">
        <w:rPr>
          <w:sz w:val="22"/>
          <w:lang w:val="en-CA"/>
        </w:rPr>
        <w:fldChar w:fldCharType="end"/>
      </w:r>
      <w:r w:rsidR="00B933FB">
        <w:rPr>
          <w:sz w:val="22"/>
          <w:lang w:val="en-CA"/>
        </w:rPr>
        <w:fldChar w:fldCharType="begin"/>
      </w:r>
      <w:r w:rsidR="00B933FB">
        <w:rPr>
          <w:sz w:val="22"/>
          <w:lang w:val="en-CA"/>
        </w:rPr>
        <w:instrText xml:space="preserve"> REF _Ref528934595 \r \h </w:instrText>
      </w:r>
      <w:r w:rsidR="00DA4D84">
        <w:rPr>
          <w:sz w:val="22"/>
          <w:lang w:val="en-CA"/>
        </w:rPr>
        <w:instrText xml:space="preserve"> \* MERGEFORMAT </w:instrText>
      </w:r>
      <w:r w:rsidR="00B933FB">
        <w:rPr>
          <w:sz w:val="22"/>
          <w:lang w:val="en-CA"/>
        </w:rPr>
      </w:r>
      <w:r w:rsidR="00B933FB">
        <w:rPr>
          <w:sz w:val="22"/>
          <w:lang w:val="en-CA"/>
        </w:rPr>
        <w:fldChar w:fldCharType="separate"/>
      </w:r>
      <w:r w:rsidR="00C13E0D">
        <w:rPr>
          <w:sz w:val="22"/>
          <w:lang w:val="en-CA"/>
        </w:rPr>
        <w:t>[5]</w:t>
      </w:r>
      <w:r w:rsidR="00B933FB">
        <w:rPr>
          <w:sz w:val="22"/>
          <w:lang w:val="en-CA"/>
        </w:rPr>
        <w:fldChar w:fldCharType="end"/>
      </w:r>
      <w:r w:rsidR="00B933FB">
        <w:rPr>
          <w:sz w:val="22"/>
          <w:lang w:val="en-CA"/>
        </w:rPr>
        <w:t xml:space="preserve"> and work item </w:t>
      </w:r>
      <w:r w:rsidR="00B933FB">
        <w:rPr>
          <w:sz w:val="22"/>
          <w:lang w:val="en-CA"/>
        </w:rPr>
        <w:fldChar w:fldCharType="begin"/>
      </w:r>
      <w:r w:rsidR="00B933FB">
        <w:rPr>
          <w:sz w:val="22"/>
          <w:lang w:val="en-CA"/>
        </w:rPr>
        <w:instrText xml:space="preserve"> REF _Ref528934604 \r \h </w:instrText>
      </w:r>
      <w:r w:rsidR="00DA4D84">
        <w:rPr>
          <w:sz w:val="22"/>
          <w:lang w:val="en-CA"/>
        </w:rPr>
        <w:instrText xml:space="preserve"> \* MERGEFORMAT </w:instrText>
      </w:r>
      <w:r w:rsidR="00B933FB">
        <w:rPr>
          <w:sz w:val="22"/>
          <w:lang w:val="en-CA"/>
        </w:rPr>
      </w:r>
      <w:r w:rsidR="00B933FB">
        <w:rPr>
          <w:sz w:val="22"/>
          <w:lang w:val="en-CA"/>
        </w:rPr>
        <w:fldChar w:fldCharType="separate"/>
      </w:r>
      <w:r w:rsidR="00C13E0D">
        <w:rPr>
          <w:sz w:val="22"/>
          <w:lang w:val="en-CA"/>
        </w:rPr>
        <w:t>[6]</w:t>
      </w:r>
      <w:r w:rsidR="00B933FB">
        <w:rPr>
          <w:sz w:val="22"/>
          <w:lang w:val="en-CA"/>
        </w:rPr>
        <w:fldChar w:fldCharType="end"/>
      </w:r>
      <w:r w:rsidR="00B450C1">
        <w:rPr>
          <w:sz w:val="22"/>
          <w:lang w:val="en-CA"/>
        </w:rPr>
        <w:t xml:space="preserve">, which were </w:t>
      </w:r>
      <w:r w:rsidR="00B933FB">
        <w:rPr>
          <w:sz w:val="22"/>
          <w:lang w:val="en-CA"/>
        </w:rPr>
        <w:t xml:space="preserve">supported by a </w:t>
      </w:r>
      <w:r w:rsidR="00C13E0D">
        <w:rPr>
          <w:sz w:val="22"/>
          <w:lang w:val="en-CA"/>
        </w:rPr>
        <w:t>wide range</w:t>
      </w:r>
      <w:r w:rsidR="00B933FB">
        <w:rPr>
          <w:sz w:val="22"/>
          <w:lang w:val="en-CA"/>
        </w:rPr>
        <w:t xml:space="preserve"> of companies,</w:t>
      </w:r>
      <w:r w:rsidR="00B450C1">
        <w:rPr>
          <w:sz w:val="22"/>
          <w:lang w:val="en-CA"/>
        </w:rPr>
        <w:t xml:space="preserve"> and </w:t>
      </w:r>
      <w:r w:rsidR="00B933FB">
        <w:rPr>
          <w:sz w:val="22"/>
          <w:lang w:val="en-CA"/>
        </w:rPr>
        <w:t xml:space="preserve">carried out between RAN4#76 and </w:t>
      </w:r>
      <w:r w:rsidR="00C13E0D">
        <w:rPr>
          <w:sz w:val="22"/>
          <w:lang w:val="en-CA"/>
        </w:rPr>
        <w:t>RAN4#83.</w:t>
      </w:r>
    </w:p>
    <w:p w14:paraId="58F59796" w14:textId="4BDEEAEA" w:rsidR="005F2215" w:rsidRDefault="005F2215" w:rsidP="00A70065">
      <w:pPr>
        <w:rPr>
          <w:sz w:val="22"/>
          <w:lang w:val="en-CA"/>
        </w:rPr>
      </w:pPr>
      <w:r>
        <w:rPr>
          <w:b/>
          <w:sz w:val="22"/>
          <w:lang w:val="en-CA"/>
        </w:rPr>
        <w:t>Observation 1:</w:t>
      </w:r>
      <w:r>
        <w:rPr>
          <w:sz w:val="22"/>
          <w:lang w:val="en-CA"/>
        </w:rPr>
        <w:t xml:space="preserve"> In LTE, a loss of scheduling opport</w:t>
      </w:r>
      <w:r w:rsidR="003C4A11">
        <w:rPr>
          <w:sz w:val="22"/>
          <w:lang w:val="en-CA"/>
        </w:rPr>
        <w:t>unities of 2</w:t>
      </w:r>
      <w:r w:rsidR="0045480B">
        <w:rPr>
          <w:sz w:val="22"/>
          <w:lang w:val="en-CA"/>
        </w:rPr>
        <w:t xml:space="preserve">5% </w:t>
      </w:r>
      <w:r>
        <w:rPr>
          <w:sz w:val="22"/>
          <w:lang w:val="en-CA"/>
        </w:rPr>
        <w:t xml:space="preserve">was considered a significant problem and led to a SI and </w:t>
      </w:r>
      <w:r w:rsidR="003C4A11">
        <w:rPr>
          <w:sz w:val="22"/>
          <w:lang w:val="en-CA"/>
        </w:rPr>
        <w:t xml:space="preserve">a </w:t>
      </w:r>
      <w:r>
        <w:rPr>
          <w:sz w:val="22"/>
          <w:lang w:val="en-CA"/>
        </w:rPr>
        <w:t>WI on measurement gap enhancements</w:t>
      </w:r>
      <w:r w:rsidR="003070ED">
        <w:rPr>
          <w:sz w:val="22"/>
          <w:lang w:val="en-CA"/>
        </w:rPr>
        <w:t xml:space="preserve"> carried out from</w:t>
      </w:r>
      <w:r w:rsidR="006C65AE">
        <w:rPr>
          <w:sz w:val="22"/>
          <w:lang w:val="en-CA"/>
        </w:rPr>
        <w:t xml:space="preserve"> RAN4#76 to RAN4#83</w:t>
      </w:r>
      <w:r>
        <w:rPr>
          <w:sz w:val="22"/>
          <w:lang w:val="en-CA"/>
        </w:rPr>
        <w:t>.</w:t>
      </w:r>
    </w:p>
    <w:p w14:paraId="41E6EAF9" w14:textId="6FCEEDCA" w:rsidR="002015B1" w:rsidRDefault="002015B1" w:rsidP="00DA4D84">
      <w:pPr>
        <w:jc w:val="both"/>
        <w:rPr>
          <w:sz w:val="22"/>
          <w:lang w:val="en-CA"/>
        </w:rPr>
      </w:pPr>
      <w:r>
        <w:rPr>
          <w:sz w:val="22"/>
          <w:lang w:val="en-CA"/>
        </w:rPr>
        <w:t>Due to flexibility in NR regarding HARQ ACK/NACK patterns, the situation is more favourable than in LTE. Parti</w:t>
      </w:r>
      <w:r w:rsidR="00A027FD">
        <w:rPr>
          <w:sz w:val="22"/>
          <w:lang w:val="en-CA"/>
        </w:rPr>
        <w:t>cularly, in many configurations</w:t>
      </w:r>
      <w:r>
        <w:rPr>
          <w:sz w:val="22"/>
          <w:lang w:val="en-CA"/>
        </w:rPr>
        <w:t xml:space="preserve"> the UE can be scheduled in the slots before a measurement gap and provide ACK/NACK after the measurement gap, thus preventing additional loss of scheduling opportunities. However, in NR, a shorter</w:t>
      </w:r>
      <w:r w:rsidR="00F1258A">
        <w:rPr>
          <w:sz w:val="22"/>
          <w:lang w:val="en-CA"/>
        </w:rPr>
        <w:t xml:space="preserve"> MGRP </w:t>
      </w:r>
      <w:r w:rsidR="00A027FD">
        <w:rPr>
          <w:sz w:val="22"/>
          <w:lang w:val="en-CA"/>
        </w:rPr>
        <w:t>than in LTE, 20ms, is supported for gaps with MGL 6ms, and additionally, such gaps can be shifted 0.5ms by MGTA. The higher density of gaps in combination with a non-zero MGTA results in a loss of scheduling opportunities of 35%</w:t>
      </w:r>
      <w:r w:rsidR="00F1258A">
        <w:rPr>
          <w:sz w:val="22"/>
          <w:lang w:val="en-CA"/>
        </w:rPr>
        <w:t xml:space="preserve"> </w:t>
      </w:r>
      <w:r w:rsidR="00A027FD">
        <w:rPr>
          <w:sz w:val="22"/>
          <w:lang w:val="en-CA"/>
        </w:rPr>
        <w:t xml:space="preserve">when SCS 15kHz is used, </w:t>
      </w:r>
      <w:r w:rsidR="00DA4D84">
        <w:rPr>
          <w:sz w:val="22"/>
          <w:lang w:val="en-CA"/>
        </w:rPr>
        <w:t xml:space="preserve">if </w:t>
      </w:r>
      <w:proofErr w:type="gramStart"/>
      <w:r w:rsidR="00A027FD">
        <w:rPr>
          <w:sz w:val="22"/>
          <w:lang w:val="en-CA"/>
        </w:rPr>
        <w:t>assuming that</w:t>
      </w:r>
      <w:proofErr w:type="gramEnd"/>
      <w:r w:rsidR="00A027FD">
        <w:rPr>
          <w:sz w:val="22"/>
          <w:lang w:val="en-CA"/>
        </w:rPr>
        <w:t xml:space="preserve"> a scheduling opportunity </w:t>
      </w:r>
      <w:r w:rsidR="00DA4D84">
        <w:rPr>
          <w:sz w:val="22"/>
          <w:lang w:val="en-CA"/>
        </w:rPr>
        <w:t xml:space="preserve">requires </w:t>
      </w:r>
      <w:r w:rsidR="00A027FD">
        <w:rPr>
          <w:sz w:val="22"/>
          <w:lang w:val="en-CA"/>
        </w:rPr>
        <w:t>a whole slot.</w:t>
      </w:r>
    </w:p>
    <w:p w14:paraId="10E34F7D" w14:textId="7085518C" w:rsidR="005F2215" w:rsidRDefault="005F2215" w:rsidP="00A70065">
      <w:pPr>
        <w:rPr>
          <w:sz w:val="22"/>
          <w:lang w:val="en-CA"/>
        </w:rPr>
      </w:pPr>
      <w:r>
        <w:rPr>
          <w:b/>
          <w:sz w:val="22"/>
          <w:lang w:val="en-CA"/>
        </w:rPr>
        <w:t>Observation 2:</w:t>
      </w:r>
      <w:r>
        <w:rPr>
          <w:sz w:val="22"/>
          <w:lang w:val="en-CA"/>
        </w:rPr>
        <w:t xml:space="preserve"> In NR, for 15kHz SCS, the loss of scheduling opportunities may be up to 35% when MGL 6ms, MGRP 20ms, and MGTA 0.5ms is configured</w:t>
      </w:r>
      <w:r w:rsidR="00860444">
        <w:rPr>
          <w:sz w:val="22"/>
          <w:lang w:val="en-CA"/>
        </w:rPr>
        <w:t>.</w:t>
      </w:r>
    </w:p>
    <w:p w14:paraId="68BA0B02" w14:textId="447DC8D4" w:rsidR="00DA4D84" w:rsidRDefault="00DA4D84" w:rsidP="006002B7">
      <w:pPr>
        <w:jc w:val="both"/>
        <w:rPr>
          <w:sz w:val="22"/>
          <w:lang w:val="en-CA"/>
        </w:rPr>
      </w:pPr>
      <w:r>
        <w:rPr>
          <w:sz w:val="22"/>
          <w:lang w:val="en-CA"/>
        </w:rPr>
        <w:t xml:space="preserve">As pointed out in our previous contribution, </w:t>
      </w:r>
      <w:r>
        <w:rPr>
          <w:sz w:val="22"/>
          <w:lang w:val="en-CA"/>
        </w:rPr>
        <w:fldChar w:fldCharType="begin"/>
      </w:r>
      <w:r>
        <w:rPr>
          <w:sz w:val="22"/>
          <w:lang w:val="en-CA"/>
        </w:rPr>
        <w:instrText xml:space="preserve"> REF _Ref528931272 \r \h </w:instrText>
      </w:r>
      <w:r w:rsidR="006002B7">
        <w:rPr>
          <w:sz w:val="22"/>
          <w:lang w:val="en-CA"/>
        </w:rPr>
        <w:instrText xml:space="preserve"> \* MERGEFORMAT </w:instrText>
      </w:r>
      <w:r>
        <w:rPr>
          <w:sz w:val="22"/>
          <w:lang w:val="en-CA"/>
        </w:rPr>
      </w:r>
      <w:r>
        <w:rPr>
          <w:sz w:val="22"/>
          <w:lang w:val="en-CA"/>
        </w:rPr>
        <w:fldChar w:fldCharType="separate"/>
      </w:r>
      <w:r w:rsidR="00C13E0D">
        <w:rPr>
          <w:sz w:val="22"/>
          <w:lang w:val="en-CA"/>
        </w:rPr>
        <w:t>[3]</w:t>
      </w:r>
      <w:r>
        <w:rPr>
          <w:sz w:val="22"/>
          <w:lang w:val="en-CA"/>
        </w:rPr>
        <w:fldChar w:fldCharType="end"/>
      </w:r>
      <w:r>
        <w:rPr>
          <w:sz w:val="22"/>
          <w:lang w:val="en-CA"/>
        </w:rPr>
        <w:t>, the NR baseline functionality is highly flexible in that UEs can be allocated in parts of slots. That is, the situation is very much different from the LTE baseline. With proper RRC configurations, a UE can for instance be allocated in the first half or the last half of a slot. If allowing the UE to utilize also half-slots around a shifted measurement gap, the loss of scheduling opportunities is reduced to 25%.</w:t>
      </w:r>
    </w:p>
    <w:p w14:paraId="35E50D1B" w14:textId="04FF80D1" w:rsidR="00DA4D84" w:rsidRDefault="00DA4D84" w:rsidP="00A70065">
      <w:pPr>
        <w:rPr>
          <w:sz w:val="22"/>
          <w:lang w:val="en-CA"/>
        </w:rPr>
      </w:pPr>
      <w:r>
        <w:rPr>
          <w:b/>
          <w:sz w:val="22"/>
          <w:lang w:val="en-CA"/>
        </w:rPr>
        <w:t>Observation 3:</w:t>
      </w:r>
      <w:r>
        <w:rPr>
          <w:sz w:val="22"/>
          <w:lang w:val="en-CA"/>
        </w:rPr>
        <w:t xml:space="preserve"> In the LTE baseline, time domain allocations extend over a whole subframe, whereas in NR baseline, the extent of a time domain allocation and the starting position in a slot of such allocation is flexible.</w:t>
      </w:r>
    </w:p>
    <w:p w14:paraId="44250573" w14:textId="5B4E4A12" w:rsidR="00860444" w:rsidRDefault="00860444" w:rsidP="00A70065">
      <w:pPr>
        <w:rPr>
          <w:sz w:val="22"/>
          <w:lang w:val="en-CA"/>
        </w:rPr>
      </w:pPr>
      <w:r>
        <w:rPr>
          <w:b/>
          <w:sz w:val="22"/>
          <w:lang w:val="en-CA"/>
        </w:rPr>
        <w:t>Observation</w:t>
      </w:r>
      <w:r w:rsidR="00DA4D84">
        <w:rPr>
          <w:b/>
          <w:sz w:val="22"/>
          <w:lang w:val="en-CA"/>
        </w:rPr>
        <w:t xml:space="preserve"> 4</w:t>
      </w:r>
      <w:r>
        <w:rPr>
          <w:b/>
          <w:sz w:val="22"/>
          <w:lang w:val="en-CA"/>
        </w:rPr>
        <w:t xml:space="preserve">: </w:t>
      </w:r>
      <w:r>
        <w:rPr>
          <w:sz w:val="22"/>
          <w:lang w:val="en-CA"/>
        </w:rPr>
        <w:t xml:space="preserve">If allowing scheduling of half-slots before and after measurement gap, the maximum loss of downlink scheduling opportunities </w:t>
      </w:r>
      <w:r w:rsidR="002010C0">
        <w:rPr>
          <w:sz w:val="22"/>
          <w:lang w:val="en-CA"/>
        </w:rPr>
        <w:t>is reduced</w:t>
      </w:r>
      <w:r>
        <w:rPr>
          <w:sz w:val="22"/>
          <w:lang w:val="en-CA"/>
        </w:rPr>
        <w:t xml:space="preserve"> from 35</w:t>
      </w:r>
      <w:r w:rsidR="00644B2F">
        <w:rPr>
          <w:sz w:val="22"/>
          <w:lang w:val="en-CA"/>
        </w:rPr>
        <w:t>%</w:t>
      </w:r>
      <w:r>
        <w:rPr>
          <w:sz w:val="22"/>
          <w:lang w:val="en-CA"/>
        </w:rPr>
        <w:t xml:space="preserve"> to 25%.</w:t>
      </w:r>
    </w:p>
    <w:p w14:paraId="0C16EF79" w14:textId="41172489" w:rsidR="00611041" w:rsidRDefault="00644B2F" w:rsidP="00611041">
      <w:pPr>
        <w:keepNext/>
      </w:pPr>
      <w:r>
        <w:object w:dxaOrig="8836" w:dyaOrig="3136" w14:anchorId="07EC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139.5pt" o:ole="">
            <v:imagedata r:id="rId8" o:title="" cropbottom="7111f"/>
          </v:shape>
          <o:OLEObject Type="Embed" ProgID="Visio.Drawing.15" ShapeID="_x0000_i1025" DrawAspect="Content" ObjectID="_1602696162" r:id="rId9"/>
        </w:object>
      </w:r>
    </w:p>
    <w:p w14:paraId="66EDA223" w14:textId="5E2A1951" w:rsidR="00611041" w:rsidRPr="00DD1E27" w:rsidRDefault="00611041" w:rsidP="00611041">
      <w:pPr>
        <w:pStyle w:val="Caption"/>
        <w:rPr>
          <w:sz w:val="22"/>
          <w:lang w:val="en-US"/>
        </w:rPr>
      </w:pPr>
      <w:bookmarkStart w:id="4" w:name="_Ref528939803"/>
      <w:r w:rsidRPr="009D1C3C">
        <w:rPr>
          <w:lang w:val="en-US"/>
        </w:rPr>
        <w:t xml:space="preserve">Figure </w:t>
      </w:r>
      <w:r>
        <w:fldChar w:fldCharType="begin"/>
      </w:r>
      <w:r w:rsidRPr="009D1C3C">
        <w:rPr>
          <w:lang w:val="en-US"/>
        </w:rPr>
        <w:instrText xml:space="preserve"> SEQ Figure \* ARABIC </w:instrText>
      </w:r>
      <w:r>
        <w:fldChar w:fldCharType="separate"/>
      </w:r>
      <w:r w:rsidR="00C13E0D">
        <w:rPr>
          <w:noProof/>
          <w:lang w:val="en-US"/>
        </w:rPr>
        <w:t>1</w:t>
      </w:r>
      <w:r>
        <w:fldChar w:fldCharType="end"/>
      </w:r>
      <w:bookmarkEnd w:id="4"/>
      <w:r w:rsidRPr="009D1C3C">
        <w:rPr>
          <w:lang w:val="en-US"/>
        </w:rPr>
        <w:t xml:space="preserve">: </w:t>
      </w:r>
      <w:r w:rsidR="00DD1E27" w:rsidRPr="009D1C3C">
        <w:rPr>
          <w:lang w:val="en-US"/>
        </w:rPr>
        <w:t xml:space="preserve">Measurement gap definition and impact of measurement gap on DL and UL carriers for </w:t>
      </w:r>
      <w:r w:rsidR="00DD1E27">
        <w:rPr>
          <w:lang w:val="en-US"/>
        </w:rPr>
        <w:t xml:space="preserve">SCS 15kHz and </w:t>
      </w:r>
      <w:r w:rsidR="00DD1E27" w:rsidRPr="009D1C3C">
        <w:rPr>
          <w:lang w:val="en-US"/>
        </w:rPr>
        <w:t>MGTA 0.5ms.</w:t>
      </w:r>
      <w:r w:rsidR="00DD1E27">
        <w:rPr>
          <w:lang w:val="en-US"/>
        </w:rPr>
        <w:t xml:space="preserve"> Green shade indicates well-defined half-slots that can be used for scheduling of the UE.</w:t>
      </w:r>
    </w:p>
    <w:p w14:paraId="37807096" w14:textId="33E4F55E" w:rsidR="00875807" w:rsidRPr="00190E99" w:rsidRDefault="00E721EB" w:rsidP="00E22012">
      <w:pPr>
        <w:spacing w:before="240"/>
        <w:jc w:val="both"/>
        <w:rPr>
          <w:sz w:val="22"/>
          <w:szCs w:val="22"/>
          <w:lang w:val="en-CA"/>
        </w:rPr>
      </w:pPr>
      <w:r>
        <w:rPr>
          <w:sz w:val="22"/>
          <w:lang w:val="en-CA"/>
        </w:rPr>
        <w:t>To further</w:t>
      </w:r>
      <w:r w:rsidR="00611041">
        <w:rPr>
          <w:sz w:val="22"/>
          <w:lang w:val="en-CA"/>
        </w:rPr>
        <w:t xml:space="preserve"> illustrate</w:t>
      </w:r>
      <w:r>
        <w:rPr>
          <w:sz w:val="22"/>
          <w:lang w:val="en-CA"/>
        </w:rPr>
        <w:t xml:space="preserve"> </w:t>
      </w:r>
      <w:r w:rsidR="00C13E0D">
        <w:rPr>
          <w:sz w:val="22"/>
          <w:lang w:val="en-CA"/>
        </w:rPr>
        <w:t>which half-sl</w:t>
      </w:r>
      <w:r w:rsidR="006E5F83">
        <w:rPr>
          <w:sz w:val="22"/>
          <w:lang w:val="en-CA"/>
        </w:rPr>
        <w:t xml:space="preserve">ots </w:t>
      </w:r>
      <w:r w:rsidR="00C13E0D">
        <w:rPr>
          <w:sz w:val="22"/>
          <w:lang w:val="en-CA"/>
        </w:rPr>
        <w:t xml:space="preserve">are candidates for being used for scheduling, </w:t>
      </w:r>
      <w:r w:rsidR="006E5F83">
        <w:rPr>
          <w:sz w:val="22"/>
          <w:lang w:val="en-CA"/>
        </w:rPr>
        <w:t xml:space="preserve">please </w:t>
      </w:r>
      <w:r w:rsidR="00C13E0D">
        <w:rPr>
          <w:sz w:val="22"/>
          <w:lang w:val="en-CA"/>
        </w:rPr>
        <w:t>see</w:t>
      </w:r>
      <w:r w:rsidR="00C13E0D" w:rsidRPr="00C13E0D">
        <w:rPr>
          <w:sz w:val="22"/>
          <w:szCs w:val="22"/>
          <w:lang w:val="en-CA"/>
        </w:rPr>
        <w:t xml:space="preserve"> </w:t>
      </w:r>
      <w:r w:rsidR="00C13E0D" w:rsidRPr="00C13E0D">
        <w:rPr>
          <w:sz w:val="22"/>
          <w:szCs w:val="22"/>
          <w:lang w:val="en-CA"/>
        </w:rPr>
        <w:fldChar w:fldCharType="begin"/>
      </w:r>
      <w:r w:rsidR="00C13E0D" w:rsidRPr="00C13E0D">
        <w:rPr>
          <w:sz w:val="22"/>
          <w:szCs w:val="22"/>
          <w:lang w:val="en-CA"/>
        </w:rPr>
        <w:instrText xml:space="preserve"> REF _Ref528939803 \h  \* MERGEFORMAT </w:instrText>
      </w:r>
      <w:r w:rsidR="00C13E0D" w:rsidRPr="00C13E0D">
        <w:rPr>
          <w:sz w:val="22"/>
          <w:szCs w:val="22"/>
          <w:lang w:val="en-CA"/>
        </w:rPr>
      </w:r>
      <w:r w:rsidR="00C13E0D" w:rsidRPr="00C13E0D">
        <w:rPr>
          <w:sz w:val="22"/>
          <w:szCs w:val="22"/>
          <w:lang w:val="en-CA"/>
        </w:rPr>
        <w:fldChar w:fldCharType="separate"/>
      </w:r>
      <w:r w:rsidR="00C13E0D" w:rsidRPr="00C13E0D">
        <w:rPr>
          <w:sz w:val="22"/>
          <w:szCs w:val="22"/>
          <w:lang w:val="en-US"/>
        </w:rPr>
        <w:t xml:space="preserve">Figure </w:t>
      </w:r>
      <w:r w:rsidR="00C13E0D" w:rsidRPr="00C13E0D">
        <w:rPr>
          <w:noProof/>
          <w:sz w:val="22"/>
          <w:szCs w:val="22"/>
          <w:lang w:val="en-US"/>
        </w:rPr>
        <w:t>1</w:t>
      </w:r>
      <w:r w:rsidR="00C13E0D" w:rsidRPr="00C13E0D">
        <w:rPr>
          <w:sz w:val="22"/>
          <w:szCs w:val="22"/>
          <w:lang w:val="en-CA"/>
        </w:rPr>
        <w:fldChar w:fldCharType="end"/>
      </w:r>
      <w:r w:rsidR="006E5F83">
        <w:rPr>
          <w:sz w:val="22"/>
          <w:szCs w:val="22"/>
          <w:lang w:val="en-CA"/>
        </w:rPr>
        <w:t xml:space="preserve">. At RAN4#88bis it was decided that both for FDD and TDD, the time reference for a measurement gap is aligned with the DL subframe time reference. Further, when a non-zero MGTA is used, the starting point of the measurement gap is advanced by 0.5ms from the DL subframe border at which the measurement gap would have started had MGTA 0ms been used. </w:t>
      </w:r>
      <w:r w:rsidR="00190E99">
        <w:rPr>
          <w:sz w:val="22"/>
          <w:szCs w:val="22"/>
          <w:lang w:val="en-CA"/>
        </w:rPr>
        <w:t>This means that any DL slot that is partially overlapped by a measurement gap will have either a first or a second half-slot that potentially can be used for scheduling. Moreover, it means that any UL slot that is partially overlapped by the beginning of the measurement gap will have a first half-slot that potentially can be used for scheduling.</w:t>
      </w:r>
    </w:p>
    <w:p w14:paraId="1A19164A" w14:textId="77777777" w:rsidR="003D0962" w:rsidRDefault="00EE5A9F" w:rsidP="003D0962">
      <w:pPr>
        <w:keepNext/>
      </w:pPr>
      <w:r>
        <w:object w:dxaOrig="8176" w:dyaOrig="1485" w14:anchorId="5CD85872">
          <v:shape id="_x0000_i1026" type="#_x0000_t75" style="width:408.75pt;height:74.25pt" o:ole="">
            <v:imagedata r:id="rId10" o:title=""/>
          </v:shape>
          <o:OLEObject Type="Embed" ProgID="Visio.Drawing.15" ShapeID="_x0000_i1026" DrawAspect="Content" ObjectID="_1602696163" r:id="rId11"/>
        </w:object>
      </w:r>
    </w:p>
    <w:p w14:paraId="43932380" w14:textId="41CC3EEE" w:rsidR="00EE5A9F" w:rsidRDefault="003D0962" w:rsidP="003D0962">
      <w:pPr>
        <w:pStyle w:val="Caption"/>
        <w:rPr>
          <w:sz w:val="22"/>
          <w:lang w:val="en-CA"/>
        </w:rPr>
      </w:pPr>
      <w:bookmarkStart w:id="5" w:name="_Ref528941946"/>
      <w:r w:rsidRPr="009D1C3C">
        <w:rPr>
          <w:lang w:val="en-US"/>
        </w:rPr>
        <w:t xml:space="preserve">Figure </w:t>
      </w:r>
      <w:r>
        <w:fldChar w:fldCharType="begin"/>
      </w:r>
      <w:r w:rsidRPr="009D1C3C">
        <w:rPr>
          <w:lang w:val="en-US"/>
        </w:rPr>
        <w:instrText xml:space="preserve"> SEQ Figure \* ARABIC </w:instrText>
      </w:r>
      <w:r>
        <w:fldChar w:fldCharType="separate"/>
      </w:r>
      <w:r w:rsidR="00C13E0D">
        <w:rPr>
          <w:noProof/>
          <w:lang w:val="en-US"/>
        </w:rPr>
        <w:t>2</w:t>
      </w:r>
      <w:r>
        <w:fldChar w:fldCharType="end"/>
      </w:r>
      <w:bookmarkEnd w:id="5"/>
      <w:r w:rsidRPr="009D1C3C">
        <w:rPr>
          <w:lang w:val="en-US"/>
        </w:rPr>
        <w:t xml:space="preserve">: </w:t>
      </w:r>
      <w:r w:rsidR="00190E99">
        <w:rPr>
          <w:lang w:val="en-US"/>
        </w:rPr>
        <w:t xml:space="preserve">Measurement gap definition and impact of measurement gap on DL and UL for </w:t>
      </w:r>
      <w:r w:rsidR="00A834CC">
        <w:rPr>
          <w:lang w:val="en-US"/>
        </w:rPr>
        <w:t>a group of synchronous cells</w:t>
      </w:r>
      <w:r w:rsidR="00190E99">
        <w:rPr>
          <w:lang w:val="en-US"/>
        </w:rPr>
        <w:t xml:space="preserve"> for SCS 15kHz and MGTA 0.5ms. Green shade indicates well-defined half-slots that can be used for scheduling of the UE.</w:t>
      </w:r>
    </w:p>
    <w:p w14:paraId="2357910B" w14:textId="08512149" w:rsidR="00A834CC" w:rsidRDefault="00E22012" w:rsidP="00824F05">
      <w:pPr>
        <w:spacing w:before="240"/>
        <w:jc w:val="both"/>
        <w:rPr>
          <w:sz w:val="22"/>
          <w:lang w:val="en-CA"/>
        </w:rPr>
      </w:pPr>
      <w:r>
        <w:rPr>
          <w:sz w:val="22"/>
          <w:lang w:val="en-CA"/>
        </w:rPr>
        <w:t xml:space="preserve">When multiple carriers are aggregated, the effective MGL becomes shorter than the signalled MGL, since the measurement gap starting point is based on the subframe border of the latest arriving cell, and the endpoint </w:t>
      </w:r>
      <w:r w:rsidR="000A166A">
        <w:rPr>
          <w:sz w:val="22"/>
          <w:lang w:val="en-CA"/>
        </w:rPr>
        <w:t>of the measurement gap is based on the subframe border of the earliest arriving cell in the group of aggregated cells.</w:t>
      </w:r>
      <w:r w:rsidR="00A834CC">
        <w:rPr>
          <w:sz w:val="22"/>
          <w:lang w:val="en-CA"/>
        </w:rPr>
        <w:t xml:space="preserve"> As illustrated for DL carriers in </w:t>
      </w:r>
      <w:r w:rsidR="00A834CC">
        <w:rPr>
          <w:sz w:val="22"/>
          <w:lang w:val="en-CA"/>
        </w:rPr>
        <w:fldChar w:fldCharType="begin"/>
      </w:r>
      <w:r w:rsidR="00A834CC">
        <w:rPr>
          <w:sz w:val="22"/>
          <w:lang w:val="en-CA"/>
        </w:rPr>
        <w:instrText xml:space="preserve"> REF _Ref528941946 \h </w:instrText>
      </w:r>
      <w:r w:rsidR="00824F05">
        <w:rPr>
          <w:sz w:val="22"/>
          <w:lang w:val="en-CA"/>
        </w:rPr>
        <w:instrText xml:space="preserve"> \* MERGEFORMAT </w:instrText>
      </w:r>
      <w:r w:rsidR="00A834CC">
        <w:rPr>
          <w:sz w:val="22"/>
          <w:lang w:val="en-CA"/>
        </w:rPr>
      </w:r>
      <w:r w:rsidR="00A834CC">
        <w:rPr>
          <w:sz w:val="22"/>
          <w:lang w:val="en-CA"/>
        </w:rPr>
        <w:fldChar w:fldCharType="separate"/>
      </w:r>
      <w:r w:rsidR="00A834CC" w:rsidRPr="009D1C3C">
        <w:rPr>
          <w:lang w:val="en-US"/>
        </w:rPr>
        <w:t xml:space="preserve">Figure </w:t>
      </w:r>
      <w:r w:rsidR="00A834CC">
        <w:rPr>
          <w:noProof/>
          <w:lang w:val="en-US"/>
        </w:rPr>
        <w:t>2</w:t>
      </w:r>
      <w:r w:rsidR="00A834CC">
        <w:rPr>
          <w:sz w:val="22"/>
          <w:lang w:val="en-CA"/>
        </w:rPr>
        <w:fldChar w:fldCharType="end"/>
      </w:r>
      <w:r w:rsidR="00A834CC">
        <w:rPr>
          <w:sz w:val="22"/>
          <w:lang w:val="en-CA"/>
        </w:rPr>
        <w:t>, this means that the observation made above regarding a single carrier is applicable also in the case of a group of aggregated carriers.</w:t>
      </w:r>
    </w:p>
    <w:p w14:paraId="6D4C2E2F" w14:textId="5BB285CE" w:rsidR="00AF0628" w:rsidRDefault="00693B05" w:rsidP="000656BD">
      <w:pPr>
        <w:spacing w:before="240"/>
        <w:jc w:val="both"/>
        <w:rPr>
          <w:sz w:val="22"/>
          <w:lang w:val="en-CA"/>
        </w:rPr>
      </w:pPr>
      <w:r>
        <w:rPr>
          <w:sz w:val="22"/>
          <w:lang w:val="en-CA"/>
        </w:rPr>
        <w:t xml:space="preserve">Given that lack of scheduling opportunities was identified as an issue in LTE </w:t>
      </w:r>
      <w:r w:rsidR="00824F05">
        <w:rPr>
          <w:sz w:val="22"/>
          <w:lang w:val="en-CA"/>
        </w:rPr>
        <w:t>and</w:t>
      </w:r>
      <w:r>
        <w:rPr>
          <w:sz w:val="22"/>
          <w:lang w:val="en-CA"/>
        </w:rPr>
        <w:t xml:space="preserve"> triggered RAN4 (and RAN2) to work on improvements (some 15 TUs were spent), and given that NR already in the baseline functionality supports allocation of UEs in parts of slots, we thin</w:t>
      </w:r>
      <w:r w:rsidR="00824F05">
        <w:rPr>
          <w:sz w:val="22"/>
          <w:lang w:val="en-CA"/>
        </w:rPr>
        <w:t>k that the current revision of TS 38.133</w:t>
      </w:r>
      <w:r w:rsidR="008F154E">
        <w:rPr>
          <w:sz w:val="22"/>
          <w:lang w:val="en-CA"/>
        </w:rPr>
        <w:t xml:space="preserve"> </w:t>
      </w:r>
      <w:r w:rsidR="008F154E">
        <w:rPr>
          <w:sz w:val="22"/>
          <w:lang w:val="en-CA"/>
        </w:rPr>
        <w:fldChar w:fldCharType="begin"/>
      </w:r>
      <w:r w:rsidR="008F154E">
        <w:rPr>
          <w:sz w:val="22"/>
          <w:lang w:val="en-CA"/>
        </w:rPr>
        <w:instrText xml:space="preserve"> REF _Ref528945388 \r \h </w:instrText>
      </w:r>
      <w:r w:rsidR="000656BD">
        <w:rPr>
          <w:sz w:val="22"/>
          <w:lang w:val="en-CA"/>
        </w:rPr>
        <w:instrText xml:space="preserve"> \* MERGEFORMAT </w:instrText>
      </w:r>
      <w:r w:rsidR="008F154E">
        <w:rPr>
          <w:sz w:val="22"/>
          <w:lang w:val="en-CA"/>
        </w:rPr>
      </w:r>
      <w:r w:rsidR="008F154E">
        <w:rPr>
          <w:sz w:val="22"/>
          <w:lang w:val="en-CA"/>
        </w:rPr>
        <w:fldChar w:fldCharType="separate"/>
      </w:r>
      <w:r w:rsidR="008F154E">
        <w:rPr>
          <w:sz w:val="22"/>
          <w:lang w:val="en-CA"/>
        </w:rPr>
        <w:t>[7]</w:t>
      </w:r>
      <w:r w:rsidR="008F154E">
        <w:rPr>
          <w:sz w:val="22"/>
          <w:lang w:val="en-CA"/>
        </w:rPr>
        <w:fldChar w:fldCharType="end"/>
      </w:r>
      <w:r w:rsidR="00824F05">
        <w:rPr>
          <w:sz w:val="22"/>
          <w:lang w:val="en-CA"/>
        </w:rPr>
        <w:t xml:space="preserve"> is too limiting when it </w:t>
      </w:r>
      <w:r w:rsidR="00071D49">
        <w:rPr>
          <w:sz w:val="22"/>
          <w:lang w:val="en-CA"/>
        </w:rPr>
        <w:t>illustrates</w:t>
      </w:r>
      <w:r w:rsidR="00824F05">
        <w:rPr>
          <w:sz w:val="22"/>
          <w:lang w:val="en-CA"/>
        </w:rPr>
        <w:t xml:space="preserve"> </w:t>
      </w:r>
      <w:r w:rsidR="008F154E">
        <w:rPr>
          <w:sz w:val="22"/>
          <w:lang w:val="en-CA"/>
        </w:rPr>
        <w:t xml:space="preserve">the non-overlapped </w:t>
      </w:r>
      <w:r w:rsidR="00824F05">
        <w:rPr>
          <w:sz w:val="22"/>
          <w:lang w:val="en-CA"/>
        </w:rPr>
        <w:t xml:space="preserve">half-slots </w:t>
      </w:r>
      <w:r w:rsidR="008F154E">
        <w:rPr>
          <w:sz w:val="22"/>
          <w:lang w:val="en-CA"/>
        </w:rPr>
        <w:t xml:space="preserve">on DL </w:t>
      </w:r>
      <w:r w:rsidR="00824F05">
        <w:rPr>
          <w:sz w:val="22"/>
          <w:lang w:val="en-CA"/>
        </w:rPr>
        <w:t>as part of the measurement gap</w:t>
      </w:r>
      <w:r w:rsidR="008F154E">
        <w:rPr>
          <w:sz w:val="22"/>
          <w:lang w:val="en-CA"/>
        </w:rPr>
        <w:t xml:space="preserve"> (</w:t>
      </w:r>
      <w:r w:rsidR="00824F05">
        <w:rPr>
          <w:sz w:val="22"/>
          <w:lang w:val="en-CA"/>
        </w:rPr>
        <w:t>Figure 9.1.2-1(b)</w:t>
      </w:r>
      <w:r w:rsidR="008F154E">
        <w:rPr>
          <w:sz w:val="22"/>
          <w:lang w:val="en-CA"/>
        </w:rPr>
        <w:t>)</w:t>
      </w:r>
      <w:r w:rsidR="00824F05">
        <w:rPr>
          <w:sz w:val="22"/>
          <w:lang w:val="en-CA"/>
        </w:rPr>
        <w:t xml:space="preserve"> for SCS 15kHz</w:t>
      </w:r>
      <w:r w:rsidR="008F154E">
        <w:rPr>
          <w:sz w:val="22"/>
          <w:lang w:val="en-CA"/>
        </w:rPr>
        <w:t xml:space="preserve"> and synchronous case</w:t>
      </w:r>
      <w:r w:rsidR="00824F05">
        <w:rPr>
          <w:sz w:val="22"/>
          <w:lang w:val="en-CA"/>
        </w:rPr>
        <w:t xml:space="preserve">. We would rather see that those </w:t>
      </w:r>
      <w:r w:rsidR="00071D49">
        <w:rPr>
          <w:sz w:val="22"/>
          <w:lang w:val="en-CA"/>
        </w:rPr>
        <w:t xml:space="preserve">non-overlapped </w:t>
      </w:r>
      <w:r w:rsidR="00824F05">
        <w:rPr>
          <w:sz w:val="22"/>
          <w:lang w:val="en-CA"/>
        </w:rPr>
        <w:t xml:space="preserve">half-slots are </w:t>
      </w:r>
      <w:r w:rsidR="00071D49">
        <w:rPr>
          <w:sz w:val="22"/>
          <w:lang w:val="en-CA"/>
        </w:rPr>
        <w:t>recognized</w:t>
      </w:r>
      <w:r w:rsidR="008F154E">
        <w:rPr>
          <w:sz w:val="22"/>
          <w:lang w:val="en-CA"/>
        </w:rPr>
        <w:t xml:space="preserve"> as not being part of the gap</w:t>
      </w:r>
      <w:r w:rsidR="00813D03">
        <w:rPr>
          <w:sz w:val="22"/>
          <w:lang w:val="en-CA"/>
        </w:rPr>
        <w:t xml:space="preserve">, and that </w:t>
      </w:r>
      <w:r w:rsidR="00071D49">
        <w:rPr>
          <w:sz w:val="22"/>
          <w:lang w:val="en-CA"/>
        </w:rPr>
        <w:t>discussion</w:t>
      </w:r>
      <w:r w:rsidR="00813D03">
        <w:rPr>
          <w:sz w:val="22"/>
          <w:lang w:val="en-CA"/>
        </w:rPr>
        <w:t>s are</w:t>
      </w:r>
      <w:r w:rsidR="00071D49">
        <w:rPr>
          <w:sz w:val="22"/>
          <w:lang w:val="en-CA"/>
        </w:rPr>
        <w:t xml:space="preserve"> focused on under which conditions</w:t>
      </w:r>
      <w:r w:rsidR="008F154E">
        <w:rPr>
          <w:sz w:val="22"/>
          <w:lang w:val="en-CA"/>
        </w:rPr>
        <w:t xml:space="preserve"> (e.g. configuration, UE capability, specification release, </w:t>
      </w:r>
      <w:proofErr w:type="spellStart"/>
      <w:r w:rsidR="008F154E">
        <w:rPr>
          <w:sz w:val="22"/>
          <w:lang w:val="en-CA"/>
        </w:rPr>
        <w:t>etc</w:t>
      </w:r>
      <w:proofErr w:type="spellEnd"/>
      <w:r w:rsidR="008F154E">
        <w:rPr>
          <w:sz w:val="22"/>
          <w:lang w:val="en-CA"/>
        </w:rPr>
        <w:t xml:space="preserve">) those can be used for scheduling. </w:t>
      </w:r>
      <w:r w:rsidR="00813D03">
        <w:rPr>
          <w:sz w:val="22"/>
          <w:lang w:val="en-CA"/>
        </w:rPr>
        <w:t xml:space="preserve">The rationale is that it is </w:t>
      </w:r>
      <w:r w:rsidR="000656BD">
        <w:rPr>
          <w:sz w:val="22"/>
          <w:lang w:val="en-CA"/>
        </w:rPr>
        <w:t>highly</w:t>
      </w:r>
      <w:r w:rsidR="00813D03">
        <w:rPr>
          <w:sz w:val="22"/>
          <w:lang w:val="en-CA"/>
        </w:rPr>
        <w:t xml:space="preserve"> likely that if the loss of scheduling opportunities is not addressed in Rel-15, it will have to b</w:t>
      </w:r>
      <w:r w:rsidR="000656BD">
        <w:rPr>
          <w:sz w:val="22"/>
          <w:lang w:val="en-CA"/>
        </w:rPr>
        <w:t>e addressed in a later</w:t>
      </w:r>
      <w:r w:rsidR="00813D03">
        <w:rPr>
          <w:sz w:val="22"/>
          <w:lang w:val="en-CA"/>
        </w:rPr>
        <w:t xml:space="preserve"> release</w:t>
      </w:r>
      <w:r w:rsidR="000656BD">
        <w:rPr>
          <w:sz w:val="22"/>
          <w:lang w:val="en-CA"/>
        </w:rPr>
        <w:t xml:space="preserve"> – as was the case in LTE</w:t>
      </w:r>
      <w:r w:rsidR="00813D03">
        <w:rPr>
          <w:sz w:val="22"/>
          <w:lang w:val="en-CA"/>
        </w:rPr>
        <w:t xml:space="preserve">. If indicating in the specification that a UE can assume that the concerned half-slots are part of the gap (although this clearly exceeds the signalled MGL), we will likely end up in a situation where chipset vendors have legacy implementations that cannot be </w:t>
      </w:r>
      <w:r w:rsidR="000656BD">
        <w:rPr>
          <w:sz w:val="22"/>
          <w:lang w:val="en-CA"/>
        </w:rPr>
        <w:t xml:space="preserve">modified without a large amount of effort and hence cost. By instead indicating clearly in the specification that there are half-slots that are not part of the measurement gap, and </w:t>
      </w:r>
      <w:r w:rsidR="006C7AF4">
        <w:rPr>
          <w:sz w:val="22"/>
          <w:lang w:val="en-CA"/>
        </w:rPr>
        <w:t>hence</w:t>
      </w:r>
      <w:r w:rsidR="000656BD">
        <w:rPr>
          <w:sz w:val="22"/>
          <w:lang w:val="en-CA"/>
        </w:rPr>
        <w:t xml:space="preserve"> potentially can be used for scheduling</w:t>
      </w:r>
      <w:r w:rsidR="00AF0628">
        <w:rPr>
          <w:sz w:val="22"/>
          <w:lang w:val="en-CA"/>
        </w:rPr>
        <w:t xml:space="preserve"> in this or future releases</w:t>
      </w:r>
      <w:r w:rsidR="000656BD">
        <w:rPr>
          <w:sz w:val="22"/>
          <w:lang w:val="en-CA"/>
        </w:rPr>
        <w:t>, chipset vendors can make informed design choices.</w:t>
      </w:r>
    </w:p>
    <w:p w14:paraId="6AC40F11" w14:textId="71833A65" w:rsidR="00AF0628" w:rsidRPr="00AF0628" w:rsidRDefault="00AF0628" w:rsidP="000656BD">
      <w:pPr>
        <w:spacing w:before="240"/>
        <w:jc w:val="both"/>
        <w:rPr>
          <w:sz w:val="22"/>
          <w:lang w:val="en-CA"/>
        </w:rPr>
      </w:pPr>
      <w:r>
        <w:rPr>
          <w:b/>
          <w:sz w:val="22"/>
          <w:lang w:val="en-CA"/>
        </w:rPr>
        <w:t>Observation 5:</w:t>
      </w:r>
      <w:r>
        <w:rPr>
          <w:sz w:val="22"/>
          <w:lang w:val="en-CA"/>
        </w:rPr>
        <w:t xml:space="preserve"> It is highly likely that if not addressed in Rel-15, RAN4 will have to address loss of scheduling opportunities in a later release. Since NR already in the baseline allows allocation in parts of a slot, the non-</w:t>
      </w:r>
      <w:r>
        <w:rPr>
          <w:sz w:val="22"/>
          <w:lang w:val="en-CA"/>
        </w:rPr>
        <w:lastRenderedPageBreak/>
        <w:t>overlapped half-slots arising before and after a shifted measurement gap are strong candidates for being used for scheduling.</w:t>
      </w:r>
    </w:p>
    <w:p w14:paraId="7E252300" w14:textId="2D0FE16F" w:rsidR="00884525" w:rsidRDefault="006C7AF4" w:rsidP="00AF0628">
      <w:pPr>
        <w:spacing w:before="240"/>
        <w:jc w:val="both"/>
        <w:rPr>
          <w:sz w:val="22"/>
          <w:lang w:val="en-CA"/>
        </w:rPr>
      </w:pPr>
      <w:r>
        <w:rPr>
          <w:b/>
          <w:sz w:val="22"/>
          <w:lang w:val="en-CA"/>
        </w:rPr>
        <w:t>Proposal 1:</w:t>
      </w:r>
      <w:r>
        <w:rPr>
          <w:sz w:val="22"/>
          <w:lang w:val="en-CA"/>
        </w:rPr>
        <w:t xml:space="preserve"> To allow informed design choices, the illustration in TS 38.133 of measurement gap</w:t>
      </w:r>
      <w:r w:rsidR="00AF0628">
        <w:rPr>
          <w:sz w:val="22"/>
          <w:lang w:val="en-CA"/>
        </w:rPr>
        <w:t xml:space="preserve"> extent </w:t>
      </w:r>
      <w:r>
        <w:rPr>
          <w:sz w:val="22"/>
          <w:lang w:val="en-CA"/>
        </w:rPr>
        <w:t xml:space="preserve">for synchronous case and SCS 15kHz with MGTA 0.5ms shall be modified to indicate that DL slots before and after the measurement gap are only partially </w:t>
      </w:r>
      <w:r w:rsidR="005B355A">
        <w:rPr>
          <w:sz w:val="22"/>
          <w:lang w:val="en-CA"/>
        </w:rPr>
        <w:t>overlapped</w:t>
      </w:r>
      <w:r>
        <w:rPr>
          <w:sz w:val="22"/>
          <w:lang w:val="en-CA"/>
        </w:rPr>
        <w:t xml:space="preserve"> by the measurement gap. Additionally, the table describing interruption time shall be modified to provide a note that explains that for SCS 15kHz and MGTA 0.5ms, non-overlapped half-slots arise that may be used for scheduling the UE depending on network configuration and UE capability.</w:t>
      </w: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0EE4FE39" w14:textId="518D455E" w:rsidR="004338C5" w:rsidRDefault="009A6FB8" w:rsidP="00661874">
      <w:pPr>
        <w:rPr>
          <w:sz w:val="22"/>
          <w:szCs w:val="22"/>
          <w:lang w:val="en-CA"/>
        </w:rPr>
      </w:pPr>
      <w:r>
        <w:rPr>
          <w:sz w:val="22"/>
          <w:szCs w:val="22"/>
          <w:lang w:val="en-CA"/>
        </w:rPr>
        <w:t xml:space="preserve">In this contribution </w:t>
      </w:r>
      <w:r w:rsidR="00AF0628">
        <w:rPr>
          <w:sz w:val="22"/>
          <w:szCs w:val="22"/>
          <w:lang w:val="en-CA"/>
        </w:rPr>
        <w:t>we have discussed scheduling opportunities in NR when measurement gaps are used. The following observations were made:</w:t>
      </w:r>
    </w:p>
    <w:p w14:paraId="202994EC" w14:textId="77777777" w:rsidR="00AF0628" w:rsidRDefault="00AF0628" w:rsidP="00AF0628">
      <w:pPr>
        <w:rPr>
          <w:sz w:val="22"/>
          <w:lang w:val="en-CA"/>
        </w:rPr>
      </w:pPr>
      <w:r>
        <w:rPr>
          <w:b/>
          <w:sz w:val="22"/>
          <w:lang w:val="en-CA"/>
        </w:rPr>
        <w:t>Observation 1:</w:t>
      </w:r>
      <w:r>
        <w:rPr>
          <w:sz w:val="22"/>
          <w:lang w:val="en-CA"/>
        </w:rPr>
        <w:t xml:space="preserve"> In LTE, a loss of scheduling opportunities of 25% was considered a significant problem and led to a SI and a WI on measurement gap enhancements carried out from RAN4#76 to RAN4#83.</w:t>
      </w:r>
    </w:p>
    <w:p w14:paraId="7EE8B40B" w14:textId="77777777" w:rsidR="00AF0628" w:rsidRDefault="00AF0628" w:rsidP="00AF0628">
      <w:pPr>
        <w:rPr>
          <w:sz w:val="22"/>
          <w:lang w:val="en-CA"/>
        </w:rPr>
      </w:pPr>
      <w:r>
        <w:rPr>
          <w:b/>
          <w:sz w:val="22"/>
          <w:lang w:val="en-CA"/>
        </w:rPr>
        <w:t>Observation 2:</w:t>
      </w:r>
      <w:r>
        <w:rPr>
          <w:sz w:val="22"/>
          <w:lang w:val="en-CA"/>
        </w:rPr>
        <w:t xml:space="preserve"> In NR, for 15kHz SCS, the loss of scheduling opportunities may be up to 35% when MGL 6ms, MGRP 20ms, and MGTA 0.5ms is configured.</w:t>
      </w:r>
    </w:p>
    <w:p w14:paraId="56DB3859" w14:textId="77777777" w:rsidR="00AF0628" w:rsidRDefault="00AF0628" w:rsidP="00AF0628">
      <w:pPr>
        <w:rPr>
          <w:sz w:val="22"/>
          <w:lang w:val="en-CA"/>
        </w:rPr>
      </w:pPr>
      <w:r>
        <w:rPr>
          <w:b/>
          <w:sz w:val="22"/>
          <w:lang w:val="en-CA"/>
        </w:rPr>
        <w:t>Observation 3:</w:t>
      </w:r>
      <w:r>
        <w:rPr>
          <w:sz w:val="22"/>
          <w:lang w:val="en-CA"/>
        </w:rPr>
        <w:t xml:space="preserve"> In the LTE baseline, time domain allocations extend over a whole subframe, whereas in NR baseline, the extent of a time domain allocation and the starting position in a slot of such allocation is flexible.</w:t>
      </w:r>
    </w:p>
    <w:p w14:paraId="330D80E7" w14:textId="77777777" w:rsidR="00AF0628" w:rsidRDefault="00AF0628" w:rsidP="00AF0628">
      <w:pPr>
        <w:rPr>
          <w:sz w:val="22"/>
          <w:lang w:val="en-CA"/>
        </w:rPr>
      </w:pPr>
      <w:r>
        <w:rPr>
          <w:b/>
          <w:sz w:val="22"/>
          <w:lang w:val="en-CA"/>
        </w:rPr>
        <w:t xml:space="preserve">Observation 4: </w:t>
      </w:r>
      <w:r>
        <w:rPr>
          <w:sz w:val="22"/>
          <w:lang w:val="en-CA"/>
        </w:rPr>
        <w:t>If allowing scheduling of half-slots before and after measurement gap, the maximum loss of downlink scheduling opportunities is reduced from 35% to 25%.</w:t>
      </w:r>
    </w:p>
    <w:p w14:paraId="44B11B20" w14:textId="5A6FACFA" w:rsidR="00AF0628" w:rsidRDefault="00AF0628" w:rsidP="00AF0628">
      <w:pPr>
        <w:spacing w:before="240"/>
        <w:jc w:val="both"/>
        <w:rPr>
          <w:sz w:val="22"/>
          <w:lang w:val="en-CA"/>
        </w:rPr>
      </w:pPr>
      <w:r>
        <w:rPr>
          <w:b/>
          <w:sz w:val="22"/>
          <w:lang w:val="en-CA"/>
        </w:rPr>
        <w:t>Observation 5:</w:t>
      </w:r>
      <w:r>
        <w:rPr>
          <w:sz w:val="22"/>
          <w:lang w:val="en-CA"/>
        </w:rPr>
        <w:t xml:space="preserve"> It is highly likely that if not addressed in Rel-15, RAN4 will have to address loss of scheduling opportunities in a later release. Since NR already in the baseline allows allocation in parts of a slot, the non-overlapped half-slots arising before and after a shifted measurement gap are strong candidates for being used for scheduling.</w:t>
      </w:r>
    </w:p>
    <w:p w14:paraId="094BCCE3" w14:textId="77C91263" w:rsidR="00AF0628" w:rsidRPr="00AF0628" w:rsidRDefault="00AF0628" w:rsidP="00AF0628">
      <w:pPr>
        <w:spacing w:before="240"/>
        <w:jc w:val="both"/>
        <w:rPr>
          <w:sz w:val="22"/>
          <w:lang w:val="en-CA"/>
        </w:rPr>
      </w:pPr>
      <w:r>
        <w:rPr>
          <w:sz w:val="22"/>
          <w:lang w:val="en-CA"/>
        </w:rPr>
        <w:t>Based on the observations, we make the following proposal:</w:t>
      </w:r>
    </w:p>
    <w:p w14:paraId="33AB04CF" w14:textId="02C7F73A" w:rsidR="00AF0628" w:rsidRDefault="00AF0628" w:rsidP="00AF0628">
      <w:pPr>
        <w:rPr>
          <w:sz w:val="22"/>
          <w:lang w:val="en-CA"/>
        </w:rPr>
      </w:pPr>
      <w:r>
        <w:rPr>
          <w:b/>
          <w:sz w:val="22"/>
          <w:lang w:val="en-CA"/>
        </w:rPr>
        <w:t>Proposal 1:</w:t>
      </w:r>
      <w:r>
        <w:rPr>
          <w:sz w:val="22"/>
          <w:lang w:val="en-CA"/>
        </w:rPr>
        <w:t xml:space="preserve"> To allow informed design choices, the illustration in TS 38.133 of measurement gap extent for synchronous case and SCS 15kHz with MGTA 0.5ms shall be modified to indicate that DL slots before and after the measurement gap are only partially overlapped by the measurement gap. Additionally, the table describing interruption time shall be modified to provide a note that explains that for SCS 15kHz and MGTA 0.5ms, non-overlapped half-slots arise that may be used for scheduling the UE depending on network configuration and UE capability.</w:t>
      </w:r>
    </w:p>
    <w:p w14:paraId="64DD0D59" w14:textId="6195F321" w:rsidR="004338C5" w:rsidRPr="00D931ED" w:rsidRDefault="001A5DF9" w:rsidP="006516FD">
      <w:pPr>
        <w:rPr>
          <w:sz w:val="22"/>
          <w:szCs w:val="22"/>
          <w:lang w:val="en-CA"/>
        </w:rPr>
      </w:pPr>
      <w:r>
        <w:rPr>
          <w:sz w:val="22"/>
          <w:szCs w:val="22"/>
          <w:lang w:val="en-CA"/>
        </w:rPr>
        <w:t xml:space="preserve">A draft CR </w:t>
      </w:r>
      <w:r w:rsidR="00AF0628">
        <w:rPr>
          <w:sz w:val="22"/>
          <w:szCs w:val="22"/>
          <w:lang w:val="en-CA"/>
        </w:rPr>
        <w:t xml:space="preserve">that modifies the concerned figure and table </w:t>
      </w:r>
      <w:r w:rsidR="00B03A84">
        <w:rPr>
          <w:sz w:val="22"/>
          <w:szCs w:val="22"/>
          <w:lang w:val="en-CA"/>
        </w:rPr>
        <w:t xml:space="preserve">in TS 38.133 </w:t>
      </w:r>
      <w:r w:rsidR="00AF0628">
        <w:rPr>
          <w:sz w:val="22"/>
          <w:szCs w:val="22"/>
          <w:lang w:val="en-CA"/>
        </w:rPr>
        <w:t xml:space="preserve">is provided in </w:t>
      </w:r>
      <w:r w:rsidR="00AF0628">
        <w:rPr>
          <w:sz w:val="22"/>
          <w:szCs w:val="22"/>
          <w:lang w:val="en-CA"/>
        </w:rPr>
        <w:fldChar w:fldCharType="begin"/>
      </w:r>
      <w:r w:rsidR="00AF0628">
        <w:rPr>
          <w:sz w:val="22"/>
          <w:szCs w:val="22"/>
          <w:lang w:val="en-CA"/>
        </w:rPr>
        <w:instrText xml:space="preserve"> REF _Ref525895760 \r \h </w:instrText>
      </w:r>
      <w:r w:rsidR="00AF0628">
        <w:rPr>
          <w:sz w:val="22"/>
          <w:szCs w:val="22"/>
          <w:lang w:val="en-CA"/>
        </w:rPr>
      </w:r>
      <w:r w:rsidR="00AF0628">
        <w:rPr>
          <w:sz w:val="22"/>
          <w:szCs w:val="22"/>
          <w:lang w:val="en-CA"/>
        </w:rPr>
        <w:fldChar w:fldCharType="separate"/>
      </w:r>
      <w:r w:rsidR="00AF0628">
        <w:rPr>
          <w:sz w:val="22"/>
          <w:szCs w:val="22"/>
          <w:lang w:val="en-CA"/>
        </w:rPr>
        <w:t>[8]</w:t>
      </w:r>
      <w:r w:rsidR="00AF0628">
        <w:rPr>
          <w:sz w:val="22"/>
          <w:szCs w:val="22"/>
          <w:lang w:val="en-CA"/>
        </w:rPr>
        <w:fldChar w:fldCharType="end"/>
      </w:r>
      <w:r>
        <w:rPr>
          <w:sz w:val="22"/>
          <w:szCs w:val="22"/>
          <w:lang w:val="en-CA"/>
        </w:rPr>
        <w:t>.</w:t>
      </w:r>
      <w:r w:rsidR="005B355A">
        <w:rPr>
          <w:sz w:val="22"/>
          <w:szCs w:val="22"/>
          <w:lang w:val="en-CA"/>
        </w:rPr>
        <w:t xml:space="preserve"> Further discussion on whether a Rel-15 UE shall be allowed to </w:t>
      </w:r>
      <w:r w:rsidR="00B03A84">
        <w:rPr>
          <w:sz w:val="22"/>
          <w:szCs w:val="22"/>
          <w:lang w:val="en-CA"/>
        </w:rPr>
        <w:t>use</w:t>
      </w:r>
      <w:r w:rsidR="005B355A">
        <w:rPr>
          <w:sz w:val="22"/>
          <w:szCs w:val="22"/>
          <w:lang w:val="en-CA"/>
        </w:rPr>
        <w:t xml:space="preserve"> half-slots is provided in </w:t>
      </w:r>
      <w:r w:rsidR="005B355A">
        <w:rPr>
          <w:sz w:val="22"/>
          <w:szCs w:val="22"/>
          <w:lang w:val="en-CA"/>
        </w:rPr>
        <w:fldChar w:fldCharType="begin"/>
      </w:r>
      <w:r w:rsidR="005B355A">
        <w:rPr>
          <w:sz w:val="22"/>
          <w:szCs w:val="22"/>
          <w:lang w:val="en-CA"/>
        </w:rPr>
        <w:instrText xml:space="preserve"> REF _Ref528948082 \r \h </w:instrText>
      </w:r>
      <w:r w:rsidR="005B355A">
        <w:rPr>
          <w:sz w:val="22"/>
          <w:szCs w:val="22"/>
          <w:lang w:val="en-CA"/>
        </w:rPr>
      </w:r>
      <w:r w:rsidR="005B355A">
        <w:rPr>
          <w:sz w:val="22"/>
          <w:szCs w:val="22"/>
          <w:lang w:val="en-CA"/>
        </w:rPr>
        <w:fldChar w:fldCharType="separate"/>
      </w:r>
      <w:r w:rsidR="005B355A">
        <w:rPr>
          <w:sz w:val="22"/>
          <w:szCs w:val="22"/>
          <w:lang w:val="en-CA"/>
        </w:rPr>
        <w:t>[9]</w:t>
      </w:r>
      <w:r w:rsidR="005B355A">
        <w:rPr>
          <w:sz w:val="22"/>
          <w:szCs w:val="22"/>
          <w:lang w:val="en-CA"/>
        </w:rPr>
        <w:fldChar w:fldCharType="end"/>
      </w:r>
      <w:r w:rsidR="005B355A">
        <w:rPr>
          <w:sz w:val="22"/>
          <w:szCs w:val="22"/>
          <w:lang w:val="en-CA"/>
        </w:rPr>
        <w:t>.</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2"/>
      <w:bookmarkEnd w:id="3"/>
    </w:p>
    <w:p w14:paraId="1A41DB4B" w14:textId="5B7B6B09" w:rsidR="00173E52" w:rsidRDefault="0039609E" w:rsidP="00DF79AF">
      <w:pPr>
        <w:numPr>
          <w:ilvl w:val="0"/>
          <w:numId w:val="9"/>
        </w:numPr>
        <w:tabs>
          <w:tab w:val="left" w:pos="851"/>
        </w:tabs>
        <w:rPr>
          <w:rFonts w:ascii="Arial" w:hAnsi="Arial" w:cs="Arial"/>
          <w:sz w:val="22"/>
          <w:szCs w:val="22"/>
          <w:lang w:val="en-CA"/>
        </w:rPr>
      </w:pPr>
      <w:bookmarkStart w:id="6" w:name="_Ref524524165"/>
      <w:r>
        <w:rPr>
          <w:rFonts w:ascii="Arial" w:hAnsi="Arial" w:cs="Arial"/>
          <w:sz w:val="22"/>
          <w:szCs w:val="22"/>
          <w:lang w:val="en-CA"/>
        </w:rPr>
        <w:t>R4-1811869 “Way forward on UE behavior before or after measurement gap”, ZTE</w:t>
      </w:r>
      <w:bookmarkEnd w:id="6"/>
    </w:p>
    <w:p w14:paraId="28C61DF3" w14:textId="663C0812" w:rsidR="006C65AE" w:rsidRDefault="006C65AE" w:rsidP="006C65AE">
      <w:pPr>
        <w:numPr>
          <w:ilvl w:val="0"/>
          <w:numId w:val="9"/>
        </w:numPr>
        <w:tabs>
          <w:tab w:val="left" w:pos="851"/>
        </w:tabs>
        <w:rPr>
          <w:rFonts w:ascii="Arial" w:hAnsi="Arial" w:cs="Arial"/>
          <w:sz w:val="22"/>
          <w:szCs w:val="22"/>
          <w:lang w:val="en-CA"/>
        </w:rPr>
      </w:pPr>
      <w:bookmarkStart w:id="7" w:name="_Ref528931270"/>
      <w:r>
        <w:rPr>
          <w:rFonts w:ascii="Arial" w:hAnsi="Arial" w:cs="Arial"/>
          <w:sz w:val="22"/>
          <w:szCs w:val="22"/>
          <w:lang w:val="en-CA"/>
        </w:rPr>
        <w:t>R4-1812859 “</w:t>
      </w:r>
      <w:r w:rsidRPr="006C65AE">
        <w:rPr>
          <w:rFonts w:ascii="Arial" w:hAnsi="Arial" w:cs="Arial"/>
          <w:sz w:val="22"/>
          <w:szCs w:val="22"/>
          <w:lang w:val="en-CA"/>
        </w:rPr>
        <w:t>Discussion on UE behaviour before and after measurement gap</w:t>
      </w:r>
      <w:r>
        <w:rPr>
          <w:rFonts w:ascii="Arial" w:hAnsi="Arial" w:cs="Arial"/>
          <w:sz w:val="22"/>
          <w:szCs w:val="22"/>
          <w:lang w:val="en-CA"/>
        </w:rPr>
        <w:t>”, ZTE</w:t>
      </w:r>
      <w:bookmarkEnd w:id="7"/>
    </w:p>
    <w:p w14:paraId="280E98A5" w14:textId="3698FE3D" w:rsidR="000C6611" w:rsidRDefault="000C6611" w:rsidP="000C6611">
      <w:pPr>
        <w:numPr>
          <w:ilvl w:val="0"/>
          <w:numId w:val="9"/>
        </w:numPr>
        <w:tabs>
          <w:tab w:val="left" w:pos="851"/>
        </w:tabs>
        <w:rPr>
          <w:rFonts w:ascii="Arial" w:hAnsi="Arial" w:cs="Arial"/>
          <w:sz w:val="22"/>
          <w:szCs w:val="22"/>
          <w:lang w:val="en-CA"/>
        </w:rPr>
      </w:pPr>
      <w:bookmarkStart w:id="8" w:name="_Ref528931272"/>
      <w:r>
        <w:rPr>
          <w:rFonts w:ascii="Arial" w:hAnsi="Arial" w:cs="Arial"/>
          <w:sz w:val="22"/>
          <w:szCs w:val="22"/>
          <w:lang w:val="en-CA"/>
        </w:rPr>
        <w:t>R4-1813427 “</w:t>
      </w:r>
      <w:r w:rsidRPr="000C6611">
        <w:rPr>
          <w:rFonts w:ascii="Arial" w:hAnsi="Arial" w:cs="Arial"/>
          <w:sz w:val="22"/>
          <w:szCs w:val="22"/>
          <w:lang w:val="en-CA"/>
        </w:rPr>
        <w:t>On UE behaviour before and after measurement gap</w:t>
      </w:r>
      <w:r>
        <w:rPr>
          <w:rFonts w:ascii="Arial" w:hAnsi="Arial" w:cs="Arial"/>
          <w:sz w:val="22"/>
          <w:szCs w:val="22"/>
          <w:lang w:val="en-CA"/>
        </w:rPr>
        <w:t>”, Ericsson</w:t>
      </w:r>
      <w:bookmarkEnd w:id="8"/>
    </w:p>
    <w:p w14:paraId="5C6BEA86" w14:textId="25D4ED96" w:rsidR="00661874" w:rsidRDefault="00B5289D" w:rsidP="00B5289D">
      <w:pPr>
        <w:numPr>
          <w:ilvl w:val="0"/>
          <w:numId w:val="9"/>
        </w:numPr>
        <w:tabs>
          <w:tab w:val="left" w:pos="851"/>
        </w:tabs>
        <w:rPr>
          <w:rFonts w:ascii="Arial" w:hAnsi="Arial" w:cs="Arial"/>
          <w:sz w:val="22"/>
          <w:szCs w:val="22"/>
          <w:lang w:val="en-CA"/>
        </w:rPr>
      </w:pPr>
      <w:bookmarkStart w:id="9" w:name="_Ref528934593"/>
      <w:r>
        <w:rPr>
          <w:rFonts w:ascii="Arial" w:hAnsi="Arial" w:cs="Arial"/>
          <w:sz w:val="22"/>
          <w:szCs w:val="22"/>
          <w:lang w:val="en-CA"/>
        </w:rPr>
        <w:t>RP-140231 “</w:t>
      </w:r>
      <w:r w:rsidRPr="00B5289D">
        <w:rPr>
          <w:rFonts w:ascii="Arial" w:hAnsi="Arial" w:cs="Arial"/>
          <w:sz w:val="22"/>
          <w:szCs w:val="22"/>
          <w:lang w:val="en-CA"/>
        </w:rPr>
        <w:t>Motivation for the new study item on measurement gap enhancement</w:t>
      </w:r>
      <w:r>
        <w:rPr>
          <w:rFonts w:ascii="Arial" w:hAnsi="Arial" w:cs="Arial"/>
          <w:sz w:val="22"/>
          <w:szCs w:val="22"/>
          <w:lang w:val="en-CA"/>
        </w:rPr>
        <w:t>”, Intel Corporation</w:t>
      </w:r>
      <w:bookmarkEnd w:id="9"/>
    </w:p>
    <w:p w14:paraId="74AB605E" w14:textId="3DF1D519" w:rsidR="007C07E9" w:rsidRDefault="007C07E9" w:rsidP="007C07E9">
      <w:pPr>
        <w:numPr>
          <w:ilvl w:val="0"/>
          <w:numId w:val="9"/>
        </w:numPr>
        <w:tabs>
          <w:tab w:val="left" w:pos="851"/>
        </w:tabs>
        <w:rPr>
          <w:rFonts w:ascii="Arial" w:hAnsi="Arial" w:cs="Arial"/>
          <w:sz w:val="22"/>
          <w:szCs w:val="22"/>
          <w:lang w:val="en-CA"/>
        </w:rPr>
      </w:pPr>
      <w:bookmarkStart w:id="10" w:name="_Ref528934595"/>
      <w:r>
        <w:rPr>
          <w:rFonts w:ascii="Arial" w:hAnsi="Arial" w:cs="Arial"/>
          <w:sz w:val="22"/>
          <w:szCs w:val="22"/>
          <w:lang w:val="en-CA"/>
        </w:rPr>
        <w:t>3GPP TR 36.894 “</w:t>
      </w:r>
      <w:r w:rsidRPr="007C07E9">
        <w:rPr>
          <w:rFonts w:ascii="Arial" w:hAnsi="Arial" w:cs="Arial"/>
          <w:sz w:val="22"/>
          <w:szCs w:val="22"/>
          <w:lang w:val="en-CA"/>
        </w:rPr>
        <w:t>Study on measurement gap enhancement for LTE</w:t>
      </w:r>
      <w:r>
        <w:rPr>
          <w:rFonts w:ascii="Arial" w:hAnsi="Arial" w:cs="Arial"/>
          <w:sz w:val="22"/>
          <w:szCs w:val="22"/>
          <w:lang w:val="en-CA"/>
        </w:rPr>
        <w:t>”</w:t>
      </w:r>
      <w:bookmarkEnd w:id="10"/>
    </w:p>
    <w:p w14:paraId="265E371D" w14:textId="354C5337" w:rsidR="000C6611" w:rsidRDefault="00E675D9" w:rsidP="00E675D9">
      <w:pPr>
        <w:numPr>
          <w:ilvl w:val="0"/>
          <w:numId w:val="9"/>
        </w:numPr>
        <w:tabs>
          <w:tab w:val="left" w:pos="851"/>
        </w:tabs>
        <w:rPr>
          <w:rFonts w:ascii="Arial" w:hAnsi="Arial" w:cs="Arial"/>
          <w:sz w:val="22"/>
          <w:szCs w:val="22"/>
          <w:lang w:val="en-CA"/>
        </w:rPr>
      </w:pPr>
      <w:bookmarkStart w:id="11" w:name="_Ref528934604"/>
      <w:r>
        <w:rPr>
          <w:rFonts w:ascii="Arial" w:hAnsi="Arial" w:cs="Arial"/>
          <w:sz w:val="22"/>
          <w:szCs w:val="22"/>
          <w:lang w:val="en-CA"/>
        </w:rPr>
        <w:lastRenderedPageBreak/>
        <w:t>RP-160678 “</w:t>
      </w:r>
      <w:r w:rsidRPr="00E675D9">
        <w:rPr>
          <w:rFonts w:ascii="Arial" w:hAnsi="Arial" w:cs="Arial"/>
          <w:sz w:val="22"/>
          <w:szCs w:val="22"/>
          <w:lang w:val="en-CA"/>
        </w:rPr>
        <w:t>New WI Proposal: Measurement Gap Enhancement for LTE</w:t>
      </w:r>
      <w:r>
        <w:rPr>
          <w:rFonts w:ascii="Arial" w:hAnsi="Arial" w:cs="Arial"/>
          <w:sz w:val="22"/>
          <w:szCs w:val="22"/>
          <w:lang w:val="en-CA"/>
        </w:rPr>
        <w:t>”, Intel Corporation</w:t>
      </w:r>
      <w:bookmarkEnd w:id="11"/>
    </w:p>
    <w:p w14:paraId="4C2137C7" w14:textId="05EA7E9C" w:rsidR="008F154E" w:rsidRDefault="008F154E" w:rsidP="008F154E">
      <w:pPr>
        <w:numPr>
          <w:ilvl w:val="0"/>
          <w:numId w:val="9"/>
        </w:numPr>
        <w:tabs>
          <w:tab w:val="left" w:pos="851"/>
        </w:tabs>
        <w:rPr>
          <w:rFonts w:ascii="Arial" w:hAnsi="Arial" w:cs="Arial"/>
          <w:sz w:val="22"/>
          <w:szCs w:val="22"/>
          <w:lang w:val="en-CA"/>
        </w:rPr>
      </w:pPr>
      <w:bookmarkStart w:id="12" w:name="_Ref528945388"/>
      <w:r>
        <w:rPr>
          <w:rFonts w:ascii="Arial" w:hAnsi="Arial" w:cs="Arial"/>
          <w:sz w:val="22"/>
          <w:szCs w:val="22"/>
          <w:lang w:val="en-CA"/>
        </w:rPr>
        <w:t>R4-1814267 “</w:t>
      </w:r>
      <w:r w:rsidRPr="008F154E">
        <w:rPr>
          <w:rFonts w:ascii="Arial" w:hAnsi="Arial" w:cs="Arial"/>
          <w:sz w:val="22"/>
          <w:szCs w:val="22"/>
          <w:lang w:val="en-CA"/>
        </w:rPr>
        <w:t>CR to TS 38.133: Implementation of endorsed draft CRs from RAN4-88bis</w:t>
      </w:r>
      <w:r>
        <w:rPr>
          <w:rFonts w:ascii="Arial" w:hAnsi="Arial" w:cs="Arial"/>
          <w:sz w:val="22"/>
          <w:szCs w:val="22"/>
          <w:lang w:val="en-CA"/>
        </w:rPr>
        <w:t>”, Intel</w:t>
      </w:r>
      <w:bookmarkEnd w:id="12"/>
    </w:p>
    <w:p w14:paraId="4B74D0F6" w14:textId="70902A8B" w:rsidR="009A6FB8" w:rsidRDefault="009A6FB8" w:rsidP="009A6FB8">
      <w:pPr>
        <w:numPr>
          <w:ilvl w:val="0"/>
          <w:numId w:val="9"/>
        </w:numPr>
        <w:tabs>
          <w:tab w:val="left" w:pos="851"/>
        </w:tabs>
        <w:rPr>
          <w:rFonts w:ascii="Arial" w:hAnsi="Arial" w:cs="Arial"/>
          <w:sz w:val="22"/>
          <w:szCs w:val="22"/>
          <w:lang w:val="en-CA"/>
        </w:rPr>
      </w:pPr>
      <w:bookmarkStart w:id="13" w:name="_Ref525895760"/>
      <w:r>
        <w:rPr>
          <w:rFonts w:ascii="Arial" w:hAnsi="Arial" w:cs="Arial"/>
          <w:sz w:val="22"/>
          <w:szCs w:val="22"/>
          <w:lang w:val="en-CA"/>
        </w:rPr>
        <w:t>R4-18</w:t>
      </w:r>
      <w:r w:rsidR="00810535">
        <w:rPr>
          <w:rFonts w:ascii="Arial" w:hAnsi="Arial" w:cs="Arial"/>
          <w:sz w:val="22"/>
          <w:szCs w:val="22"/>
          <w:lang w:val="en-CA"/>
        </w:rPr>
        <w:t>15914</w:t>
      </w:r>
      <w:r>
        <w:rPr>
          <w:rFonts w:ascii="Arial" w:hAnsi="Arial" w:cs="Arial"/>
          <w:sz w:val="22"/>
          <w:szCs w:val="22"/>
          <w:lang w:val="en-CA"/>
        </w:rPr>
        <w:t xml:space="preserve"> “</w:t>
      </w:r>
      <w:proofErr w:type="spellStart"/>
      <w:r w:rsidRPr="009A6FB8">
        <w:rPr>
          <w:rFonts w:ascii="Arial" w:hAnsi="Arial" w:cs="Arial"/>
          <w:sz w:val="22"/>
          <w:szCs w:val="22"/>
          <w:lang w:val="en-CA"/>
        </w:rPr>
        <w:t>DraftCR</w:t>
      </w:r>
      <w:proofErr w:type="spellEnd"/>
      <w:r w:rsidRPr="009A6FB8">
        <w:rPr>
          <w:rFonts w:ascii="Arial" w:hAnsi="Arial" w:cs="Arial"/>
          <w:sz w:val="22"/>
          <w:szCs w:val="22"/>
          <w:lang w:val="en-CA"/>
        </w:rPr>
        <w:t xml:space="preserve"> 38.133 </w:t>
      </w:r>
      <w:r w:rsidR="000C6611">
        <w:rPr>
          <w:rFonts w:ascii="Arial" w:hAnsi="Arial" w:cs="Arial"/>
          <w:sz w:val="22"/>
          <w:szCs w:val="22"/>
          <w:lang w:val="en-CA"/>
        </w:rPr>
        <w:t xml:space="preserve">(9.1.2) </w:t>
      </w:r>
      <w:r w:rsidR="00810535">
        <w:rPr>
          <w:rFonts w:ascii="Arial" w:hAnsi="Arial" w:cs="Arial"/>
          <w:sz w:val="22"/>
          <w:szCs w:val="22"/>
          <w:lang w:val="en-CA"/>
        </w:rPr>
        <w:t>Definition of measurement gap</w:t>
      </w:r>
      <w:r>
        <w:rPr>
          <w:rFonts w:ascii="Arial" w:hAnsi="Arial" w:cs="Arial"/>
          <w:sz w:val="22"/>
          <w:szCs w:val="22"/>
          <w:lang w:val="en-CA"/>
        </w:rPr>
        <w:t>”, Ericsson</w:t>
      </w:r>
      <w:bookmarkEnd w:id="13"/>
    </w:p>
    <w:p w14:paraId="77FADF5D" w14:textId="7ED38B6A" w:rsidR="00A42E82" w:rsidRDefault="00810535" w:rsidP="009A6FB8">
      <w:pPr>
        <w:numPr>
          <w:ilvl w:val="0"/>
          <w:numId w:val="9"/>
        </w:numPr>
        <w:tabs>
          <w:tab w:val="left" w:pos="851"/>
        </w:tabs>
        <w:rPr>
          <w:rFonts w:ascii="Arial" w:hAnsi="Arial" w:cs="Arial"/>
          <w:sz w:val="22"/>
          <w:szCs w:val="22"/>
          <w:lang w:val="en-CA"/>
        </w:rPr>
      </w:pPr>
      <w:bookmarkStart w:id="14" w:name="_Ref528948082"/>
      <w:r>
        <w:rPr>
          <w:rFonts w:ascii="Arial" w:hAnsi="Arial" w:cs="Arial"/>
          <w:sz w:val="22"/>
          <w:szCs w:val="22"/>
          <w:lang w:val="en-CA"/>
        </w:rPr>
        <w:t>R4-1815915</w:t>
      </w:r>
      <w:r w:rsidR="00A42E82">
        <w:rPr>
          <w:rFonts w:ascii="Arial" w:hAnsi="Arial" w:cs="Arial"/>
          <w:sz w:val="22"/>
          <w:szCs w:val="22"/>
          <w:lang w:val="en-CA"/>
        </w:rPr>
        <w:t xml:space="preserve"> “</w:t>
      </w:r>
      <w:r w:rsidR="00BA7648">
        <w:rPr>
          <w:rFonts w:ascii="Arial" w:hAnsi="Arial" w:cs="Arial"/>
          <w:sz w:val="22"/>
          <w:szCs w:val="22"/>
          <w:lang w:val="en-CA"/>
        </w:rPr>
        <w:t>On UE behaviour before and after measurement gap</w:t>
      </w:r>
      <w:r w:rsidR="00A42E82">
        <w:rPr>
          <w:rFonts w:ascii="Arial" w:hAnsi="Arial" w:cs="Arial"/>
          <w:sz w:val="22"/>
          <w:szCs w:val="22"/>
          <w:lang w:val="en-CA"/>
        </w:rPr>
        <w:t>”, Ericsson</w:t>
      </w:r>
      <w:bookmarkEnd w:id="14"/>
    </w:p>
    <w:p w14:paraId="2223EB7A" w14:textId="570D6F7A" w:rsidR="00EE5A9F" w:rsidRDefault="00EE5A9F" w:rsidP="00EE5A9F">
      <w:pPr>
        <w:tabs>
          <w:tab w:val="left" w:pos="851"/>
        </w:tabs>
        <w:rPr>
          <w:rFonts w:ascii="Arial" w:hAnsi="Arial" w:cs="Arial"/>
          <w:sz w:val="22"/>
          <w:szCs w:val="22"/>
          <w:lang w:val="en-CA"/>
        </w:rPr>
      </w:pPr>
    </w:p>
    <w:p w14:paraId="397A7217" w14:textId="29779CDF" w:rsidR="00EE5A9F" w:rsidRDefault="00EE5A9F" w:rsidP="00EE5A9F">
      <w:pPr>
        <w:tabs>
          <w:tab w:val="left" w:pos="851"/>
        </w:tabs>
        <w:rPr>
          <w:rFonts w:ascii="Arial" w:hAnsi="Arial" w:cs="Arial"/>
          <w:sz w:val="22"/>
          <w:szCs w:val="22"/>
          <w:lang w:val="en-CA"/>
        </w:rPr>
      </w:pPr>
    </w:p>
    <w:p w14:paraId="16ABB517" w14:textId="77777777" w:rsidR="00EE5A9F" w:rsidRDefault="00EE5A9F" w:rsidP="00EE5A9F">
      <w:pPr>
        <w:rPr>
          <w:sz w:val="22"/>
          <w:lang w:val="en-CA"/>
        </w:rPr>
      </w:pPr>
    </w:p>
    <w:p w14:paraId="544EF61E" w14:textId="77777777" w:rsidR="00EE5A9F" w:rsidRDefault="00EE5A9F" w:rsidP="00EE5A9F">
      <w:pPr>
        <w:rPr>
          <w:sz w:val="22"/>
          <w:lang w:val="en-CA"/>
        </w:rPr>
      </w:pPr>
    </w:p>
    <w:p w14:paraId="7444B0AA" w14:textId="77777777" w:rsidR="00EE5A9F" w:rsidRDefault="00EE5A9F" w:rsidP="00EE5A9F">
      <w:pPr>
        <w:rPr>
          <w:sz w:val="22"/>
          <w:lang w:val="en-CA"/>
        </w:rPr>
      </w:pPr>
    </w:p>
    <w:sectPr w:rsidR="00EE5A9F"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6328B" w14:textId="77777777" w:rsidR="00C572FC" w:rsidRDefault="00C572FC">
      <w:r>
        <w:separator/>
      </w:r>
    </w:p>
  </w:endnote>
  <w:endnote w:type="continuationSeparator" w:id="0">
    <w:p w14:paraId="15D33F8A" w14:textId="77777777" w:rsidR="00C572FC" w:rsidRDefault="00C5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0B859" w14:textId="77777777" w:rsidR="00C572FC" w:rsidRDefault="00C572FC">
      <w:r>
        <w:separator/>
      </w:r>
    </w:p>
  </w:footnote>
  <w:footnote w:type="continuationSeparator" w:id="0">
    <w:p w14:paraId="665605E7" w14:textId="77777777" w:rsidR="00C572FC" w:rsidRDefault="00C5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405401"/>
    <w:multiLevelType w:val="hybridMultilevel"/>
    <w:tmpl w:val="D6307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6B1431"/>
    <w:multiLevelType w:val="hybridMultilevel"/>
    <w:tmpl w:val="73B8F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1B23602">
      <w:start w:val="8"/>
      <w:numFmt w:val="bullet"/>
      <w:lvlText w:val="–"/>
      <w:lvlJc w:val="left"/>
      <w:pPr>
        <w:ind w:left="2880" w:hanging="360"/>
      </w:pPr>
      <w:rPr>
        <w:rFonts w:ascii="Times New Roman" w:eastAsia="SimSun" w:hAnsi="Times New Roman" w:cs="Times New Roman" w:hint="default"/>
        <w:sz w:val="2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0059E0"/>
    <w:multiLevelType w:val="hybridMultilevel"/>
    <w:tmpl w:val="59CC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C31719"/>
    <w:multiLevelType w:val="hybridMultilevel"/>
    <w:tmpl w:val="2EAC0A68"/>
    <w:lvl w:ilvl="0" w:tplc="A252BDF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253DC1"/>
    <w:multiLevelType w:val="hybridMultilevel"/>
    <w:tmpl w:val="C77A41B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3"/>
  </w:num>
  <w:num w:numId="3">
    <w:abstractNumId w:val="12"/>
  </w:num>
  <w:num w:numId="4">
    <w:abstractNumId w:val="3"/>
  </w:num>
  <w:num w:numId="5">
    <w:abstractNumId w:val="4"/>
  </w:num>
  <w:num w:numId="6">
    <w:abstractNumId w:val="1"/>
  </w:num>
  <w:num w:numId="7">
    <w:abstractNumId w:val="0"/>
  </w:num>
  <w:num w:numId="8">
    <w:abstractNumId w:val="14"/>
  </w:num>
  <w:num w:numId="9">
    <w:abstractNumId w:val="5"/>
  </w:num>
  <w:num w:numId="10">
    <w:abstractNumId w:val="8"/>
  </w:num>
  <w:num w:numId="11">
    <w:abstractNumId w:val="10"/>
  </w:num>
  <w:num w:numId="12">
    <w:abstractNumId w:val="7"/>
  </w:num>
  <w:num w:numId="13">
    <w:abstractNumId w:val="2"/>
  </w:num>
  <w:num w:numId="14">
    <w:abstractNumId w:val="11"/>
  </w:num>
  <w:num w:numId="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6CE"/>
    <w:rsid w:val="00000D1C"/>
    <w:rsid w:val="0000223E"/>
    <w:rsid w:val="0000311A"/>
    <w:rsid w:val="000036BB"/>
    <w:rsid w:val="00003EC2"/>
    <w:rsid w:val="000040C9"/>
    <w:rsid w:val="0000477B"/>
    <w:rsid w:val="00004A77"/>
    <w:rsid w:val="00004D7D"/>
    <w:rsid w:val="00004E69"/>
    <w:rsid w:val="00004F8E"/>
    <w:rsid w:val="00005313"/>
    <w:rsid w:val="000054B2"/>
    <w:rsid w:val="00005A7C"/>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6BD"/>
    <w:rsid w:val="0006609B"/>
    <w:rsid w:val="00066AC3"/>
    <w:rsid w:val="00066D93"/>
    <w:rsid w:val="00067405"/>
    <w:rsid w:val="000675E8"/>
    <w:rsid w:val="0007083C"/>
    <w:rsid w:val="00070911"/>
    <w:rsid w:val="00070B4E"/>
    <w:rsid w:val="0007105D"/>
    <w:rsid w:val="00071066"/>
    <w:rsid w:val="00071D49"/>
    <w:rsid w:val="000723C1"/>
    <w:rsid w:val="0007274C"/>
    <w:rsid w:val="00072A3A"/>
    <w:rsid w:val="00072B13"/>
    <w:rsid w:val="00072FD3"/>
    <w:rsid w:val="00073187"/>
    <w:rsid w:val="00073226"/>
    <w:rsid w:val="0007359D"/>
    <w:rsid w:val="0007391A"/>
    <w:rsid w:val="00073ADB"/>
    <w:rsid w:val="00073BA5"/>
    <w:rsid w:val="00074238"/>
    <w:rsid w:val="000743BF"/>
    <w:rsid w:val="000745B0"/>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166A"/>
    <w:rsid w:val="000A2E40"/>
    <w:rsid w:val="000A40A2"/>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6611"/>
    <w:rsid w:val="000C722B"/>
    <w:rsid w:val="000C7688"/>
    <w:rsid w:val="000C7C45"/>
    <w:rsid w:val="000D1247"/>
    <w:rsid w:val="000D1CBD"/>
    <w:rsid w:val="000D2312"/>
    <w:rsid w:val="000D234A"/>
    <w:rsid w:val="000D2C93"/>
    <w:rsid w:val="000D3264"/>
    <w:rsid w:val="000D355A"/>
    <w:rsid w:val="000D358C"/>
    <w:rsid w:val="000D3671"/>
    <w:rsid w:val="000D58A2"/>
    <w:rsid w:val="000D5A72"/>
    <w:rsid w:val="000D6430"/>
    <w:rsid w:val="000D64E3"/>
    <w:rsid w:val="000D6658"/>
    <w:rsid w:val="000D79E2"/>
    <w:rsid w:val="000E0644"/>
    <w:rsid w:val="000E0826"/>
    <w:rsid w:val="000E08AC"/>
    <w:rsid w:val="000E0A89"/>
    <w:rsid w:val="000E0B89"/>
    <w:rsid w:val="000E0F80"/>
    <w:rsid w:val="000E1269"/>
    <w:rsid w:val="000E16CE"/>
    <w:rsid w:val="000E254D"/>
    <w:rsid w:val="000E2562"/>
    <w:rsid w:val="000E25B6"/>
    <w:rsid w:val="000E2C98"/>
    <w:rsid w:val="000E3A62"/>
    <w:rsid w:val="000E3D64"/>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3AC"/>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FC2"/>
    <w:rsid w:val="001276CA"/>
    <w:rsid w:val="0013019C"/>
    <w:rsid w:val="00131312"/>
    <w:rsid w:val="00131978"/>
    <w:rsid w:val="00131A3B"/>
    <w:rsid w:val="001346C3"/>
    <w:rsid w:val="001352B7"/>
    <w:rsid w:val="00135633"/>
    <w:rsid w:val="001357A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0ED1"/>
    <w:rsid w:val="001619F0"/>
    <w:rsid w:val="00161AD5"/>
    <w:rsid w:val="001634F9"/>
    <w:rsid w:val="00163B84"/>
    <w:rsid w:val="00163CB6"/>
    <w:rsid w:val="0016429C"/>
    <w:rsid w:val="0016528A"/>
    <w:rsid w:val="00165A6F"/>
    <w:rsid w:val="001665A4"/>
    <w:rsid w:val="0016699E"/>
    <w:rsid w:val="00166A54"/>
    <w:rsid w:val="00166D73"/>
    <w:rsid w:val="0017131E"/>
    <w:rsid w:val="001721B0"/>
    <w:rsid w:val="00172582"/>
    <w:rsid w:val="00172A29"/>
    <w:rsid w:val="00172A95"/>
    <w:rsid w:val="001734F8"/>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46ED"/>
    <w:rsid w:val="001855F8"/>
    <w:rsid w:val="00185A85"/>
    <w:rsid w:val="00185AFD"/>
    <w:rsid w:val="00186A2B"/>
    <w:rsid w:val="001878E9"/>
    <w:rsid w:val="00187908"/>
    <w:rsid w:val="00190668"/>
    <w:rsid w:val="00190CFB"/>
    <w:rsid w:val="00190E99"/>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129D"/>
    <w:rsid w:val="001A1CB8"/>
    <w:rsid w:val="001A21FD"/>
    <w:rsid w:val="001A409E"/>
    <w:rsid w:val="001A4E3B"/>
    <w:rsid w:val="001A5354"/>
    <w:rsid w:val="001A5611"/>
    <w:rsid w:val="001A5B2F"/>
    <w:rsid w:val="001A5DF9"/>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9A1"/>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26E"/>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414"/>
    <w:rsid w:val="00200B29"/>
    <w:rsid w:val="002010C0"/>
    <w:rsid w:val="002015B1"/>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06B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09A"/>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38E8"/>
    <w:rsid w:val="002658AB"/>
    <w:rsid w:val="00265ED7"/>
    <w:rsid w:val="002662B7"/>
    <w:rsid w:val="00266C33"/>
    <w:rsid w:val="00270155"/>
    <w:rsid w:val="0027034F"/>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E63"/>
    <w:rsid w:val="00283F2E"/>
    <w:rsid w:val="00284CE5"/>
    <w:rsid w:val="00285671"/>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1AF"/>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0ED"/>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09E"/>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00A"/>
    <w:rsid w:val="003B2678"/>
    <w:rsid w:val="003B328F"/>
    <w:rsid w:val="003B32E4"/>
    <w:rsid w:val="003B3334"/>
    <w:rsid w:val="003B34D7"/>
    <w:rsid w:val="003B49F2"/>
    <w:rsid w:val="003B5E71"/>
    <w:rsid w:val="003B66D2"/>
    <w:rsid w:val="003B693D"/>
    <w:rsid w:val="003B7620"/>
    <w:rsid w:val="003B77B7"/>
    <w:rsid w:val="003B7BA6"/>
    <w:rsid w:val="003C0A88"/>
    <w:rsid w:val="003C0D96"/>
    <w:rsid w:val="003C329E"/>
    <w:rsid w:val="003C32F9"/>
    <w:rsid w:val="003C3D9F"/>
    <w:rsid w:val="003C4370"/>
    <w:rsid w:val="003C43E9"/>
    <w:rsid w:val="003C4A11"/>
    <w:rsid w:val="003C5321"/>
    <w:rsid w:val="003C5FED"/>
    <w:rsid w:val="003C662E"/>
    <w:rsid w:val="003C6C39"/>
    <w:rsid w:val="003C707D"/>
    <w:rsid w:val="003C70A7"/>
    <w:rsid w:val="003C72D2"/>
    <w:rsid w:val="003C7656"/>
    <w:rsid w:val="003C76C5"/>
    <w:rsid w:val="003D0362"/>
    <w:rsid w:val="003D09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0A2"/>
    <w:rsid w:val="003F45B5"/>
    <w:rsid w:val="003F4F61"/>
    <w:rsid w:val="003F4F9B"/>
    <w:rsid w:val="003F5686"/>
    <w:rsid w:val="003F67F4"/>
    <w:rsid w:val="003F7027"/>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8C5"/>
    <w:rsid w:val="00433EC8"/>
    <w:rsid w:val="0043438F"/>
    <w:rsid w:val="00434464"/>
    <w:rsid w:val="00434AEE"/>
    <w:rsid w:val="00434CDE"/>
    <w:rsid w:val="00435895"/>
    <w:rsid w:val="004364C5"/>
    <w:rsid w:val="00436F2B"/>
    <w:rsid w:val="004372AA"/>
    <w:rsid w:val="004376F5"/>
    <w:rsid w:val="00437C3A"/>
    <w:rsid w:val="00440239"/>
    <w:rsid w:val="004418D1"/>
    <w:rsid w:val="00441962"/>
    <w:rsid w:val="00441D84"/>
    <w:rsid w:val="004431FF"/>
    <w:rsid w:val="0044377C"/>
    <w:rsid w:val="00443A65"/>
    <w:rsid w:val="00443B52"/>
    <w:rsid w:val="00443C94"/>
    <w:rsid w:val="0044418D"/>
    <w:rsid w:val="0044522C"/>
    <w:rsid w:val="00445657"/>
    <w:rsid w:val="004461B8"/>
    <w:rsid w:val="00446713"/>
    <w:rsid w:val="004479E2"/>
    <w:rsid w:val="00447D76"/>
    <w:rsid w:val="0045074A"/>
    <w:rsid w:val="00450F0E"/>
    <w:rsid w:val="004510C2"/>
    <w:rsid w:val="0045141B"/>
    <w:rsid w:val="00451484"/>
    <w:rsid w:val="00451C84"/>
    <w:rsid w:val="00453664"/>
    <w:rsid w:val="00453B6C"/>
    <w:rsid w:val="00453F92"/>
    <w:rsid w:val="0045480B"/>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202"/>
    <w:rsid w:val="004B1F14"/>
    <w:rsid w:val="004B232E"/>
    <w:rsid w:val="004B24DE"/>
    <w:rsid w:val="004B2514"/>
    <w:rsid w:val="004B26AC"/>
    <w:rsid w:val="004B2FA8"/>
    <w:rsid w:val="004B3062"/>
    <w:rsid w:val="004B38AF"/>
    <w:rsid w:val="004B3DF7"/>
    <w:rsid w:val="004B3E01"/>
    <w:rsid w:val="004B4919"/>
    <w:rsid w:val="004B493C"/>
    <w:rsid w:val="004B4A71"/>
    <w:rsid w:val="004B5136"/>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2DC8"/>
    <w:rsid w:val="005030B0"/>
    <w:rsid w:val="005032B8"/>
    <w:rsid w:val="0050366D"/>
    <w:rsid w:val="00504255"/>
    <w:rsid w:val="00504857"/>
    <w:rsid w:val="005058F6"/>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3A9C"/>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5E01"/>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46A89"/>
    <w:rsid w:val="00551147"/>
    <w:rsid w:val="00551C49"/>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2F5A"/>
    <w:rsid w:val="005731C2"/>
    <w:rsid w:val="005737A1"/>
    <w:rsid w:val="00573896"/>
    <w:rsid w:val="005738E4"/>
    <w:rsid w:val="005739CB"/>
    <w:rsid w:val="005739DC"/>
    <w:rsid w:val="00573D00"/>
    <w:rsid w:val="00574067"/>
    <w:rsid w:val="0057406A"/>
    <w:rsid w:val="00574A75"/>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2A7"/>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5A"/>
    <w:rsid w:val="005B356C"/>
    <w:rsid w:val="005B3D9C"/>
    <w:rsid w:val="005B420B"/>
    <w:rsid w:val="005B6086"/>
    <w:rsid w:val="005B62E4"/>
    <w:rsid w:val="005B6646"/>
    <w:rsid w:val="005B6E03"/>
    <w:rsid w:val="005C0438"/>
    <w:rsid w:val="005C165B"/>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1D0"/>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1F5"/>
    <w:rsid w:val="005F2215"/>
    <w:rsid w:val="005F22FB"/>
    <w:rsid w:val="005F28A2"/>
    <w:rsid w:val="005F2915"/>
    <w:rsid w:val="005F3A58"/>
    <w:rsid w:val="005F3CBD"/>
    <w:rsid w:val="005F4A4C"/>
    <w:rsid w:val="005F5EFE"/>
    <w:rsid w:val="005F6496"/>
    <w:rsid w:val="005F67A0"/>
    <w:rsid w:val="005F7EEE"/>
    <w:rsid w:val="00600107"/>
    <w:rsid w:val="006002B7"/>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1041"/>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B2F"/>
    <w:rsid w:val="00644F4C"/>
    <w:rsid w:val="0064559B"/>
    <w:rsid w:val="006455D1"/>
    <w:rsid w:val="00645B7A"/>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874"/>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6715"/>
    <w:rsid w:val="0068748F"/>
    <w:rsid w:val="006877CB"/>
    <w:rsid w:val="006878D8"/>
    <w:rsid w:val="00687FDC"/>
    <w:rsid w:val="00690AA3"/>
    <w:rsid w:val="006921FD"/>
    <w:rsid w:val="006927F0"/>
    <w:rsid w:val="006933FC"/>
    <w:rsid w:val="0069386C"/>
    <w:rsid w:val="00693A27"/>
    <w:rsid w:val="00693B05"/>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325E"/>
    <w:rsid w:val="006A4031"/>
    <w:rsid w:val="006A48A7"/>
    <w:rsid w:val="006A4F90"/>
    <w:rsid w:val="006A5D7B"/>
    <w:rsid w:val="006A665A"/>
    <w:rsid w:val="006A66CB"/>
    <w:rsid w:val="006A6A94"/>
    <w:rsid w:val="006A77F9"/>
    <w:rsid w:val="006A7C91"/>
    <w:rsid w:val="006B01D1"/>
    <w:rsid w:val="006B045B"/>
    <w:rsid w:val="006B0649"/>
    <w:rsid w:val="006B0663"/>
    <w:rsid w:val="006B06C4"/>
    <w:rsid w:val="006B127B"/>
    <w:rsid w:val="006B1585"/>
    <w:rsid w:val="006B1720"/>
    <w:rsid w:val="006B19C1"/>
    <w:rsid w:val="006B2064"/>
    <w:rsid w:val="006B2491"/>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5AE"/>
    <w:rsid w:val="006C6622"/>
    <w:rsid w:val="006C6ABD"/>
    <w:rsid w:val="006C796C"/>
    <w:rsid w:val="006C7AF4"/>
    <w:rsid w:val="006C7B68"/>
    <w:rsid w:val="006D00B2"/>
    <w:rsid w:val="006D12E6"/>
    <w:rsid w:val="006D2BA5"/>
    <w:rsid w:val="006D2D1E"/>
    <w:rsid w:val="006D2D48"/>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5F83"/>
    <w:rsid w:val="006E6038"/>
    <w:rsid w:val="006E6E9F"/>
    <w:rsid w:val="006E7099"/>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86D"/>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25C"/>
    <w:rsid w:val="007204D2"/>
    <w:rsid w:val="007209BF"/>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270AD"/>
    <w:rsid w:val="007306B1"/>
    <w:rsid w:val="00730B5B"/>
    <w:rsid w:val="00730FBC"/>
    <w:rsid w:val="0073300B"/>
    <w:rsid w:val="007331A6"/>
    <w:rsid w:val="00733351"/>
    <w:rsid w:val="007345D0"/>
    <w:rsid w:val="00735BB4"/>
    <w:rsid w:val="007363CF"/>
    <w:rsid w:val="00736DDE"/>
    <w:rsid w:val="00737AEA"/>
    <w:rsid w:val="00740596"/>
    <w:rsid w:val="007407DC"/>
    <w:rsid w:val="007419A3"/>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5D9E"/>
    <w:rsid w:val="00796897"/>
    <w:rsid w:val="00796898"/>
    <w:rsid w:val="00796C1B"/>
    <w:rsid w:val="007979D8"/>
    <w:rsid w:val="00797B75"/>
    <w:rsid w:val="007A0275"/>
    <w:rsid w:val="007A066B"/>
    <w:rsid w:val="007A0827"/>
    <w:rsid w:val="007A25FC"/>
    <w:rsid w:val="007A2938"/>
    <w:rsid w:val="007A2A54"/>
    <w:rsid w:val="007A2ECC"/>
    <w:rsid w:val="007A30F8"/>
    <w:rsid w:val="007A38F0"/>
    <w:rsid w:val="007A3E39"/>
    <w:rsid w:val="007A47CB"/>
    <w:rsid w:val="007A542F"/>
    <w:rsid w:val="007A56F0"/>
    <w:rsid w:val="007A5C1C"/>
    <w:rsid w:val="007A5DD7"/>
    <w:rsid w:val="007A7DA5"/>
    <w:rsid w:val="007A7DE0"/>
    <w:rsid w:val="007B0002"/>
    <w:rsid w:val="007B01DE"/>
    <w:rsid w:val="007B0503"/>
    <w:rsid w:val="007B1871"/>
    <w:rsid w:val="007B1A0C"/>
    <w:rsid w:val="007B1D44"/>
    <w:rsid w:val="007B1E02"/>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7E9"/>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6E05"/>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6E31"/>
    <w:rsid w:val="007D7031"/>
    <w:rsid w:val="007D71D9"/>
    <w:rsid w:val="007D7810"/>
    <w:rsid w:val="007D7ED0"/>
    <w:rsid w:val="007E004E"/>
    <w:rsid w:val="007E004F"/>
    <w:rsid w:val="007E05FE"/>
    <w:rsid w:val="007E0E03"/>
    <w:rsid w:val="007E0EBA"/>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E7E3F"/>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705"/>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5"/>
    <w:rsid w:val="00810537"/>
    <w:rsid w:val="00811A9C"/>
    <w:rsid w:val="00811ACB"/>
    <w:rsid w:val="00812140"/>
    <w:rsid w:val="00812736"/>
    <w:rsid w:val="00813840"/>
    <w:rsid w:val="00813A37"/>
    <w:rsid w:val="00813BB3"/>
    <w:rsid w:val="00813CD0"/>
    <w:rsid w:val="00813D03"/>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4F05"/>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1BA"/>
    <w:rsid w:val="00853715"/>
    <w:rsid w:val="00854089"/>
    <w:rsid w:val="008543B6"/>
    <w:rsid w:val="008564C2"/>
    <w:rsid w:val="00856821"/>
    <w:rsid w:val="00856A4B"/>
    <w:rsid w:val="00857899"/>
    <w:rsid w:val="008602EE"/>
    <w:rsid w:val="00860444"/>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807"/>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4525"/>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3D5B"/>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154E"/>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0AB"/>
    <w:rsid w:val="00914D24"/>
    <w:rsid w:val="00920520"/>
    <w:rsid w:val="009205D3"/>
    <w:rsid w:val="00920642"/>
    <w:rsid w:val="00920CE7"/>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644A"/>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686"/>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307"/>
    <w:rsid w:val="00996C43"/>
    <w:rsid w:val="009A1ED0"/>
    <w:rsid w:val="009A2D5F"/>
    <w:rsid w:val="009A37B3"/>
    <w:rsid w:val="009A3B6E"/>
    <w:rsid w:val="009A3B8A"/>
    <w:rsid w:val="009A40F9"/>
    <w:rsid w:val="009A413C"/>
    <w:rsid w:val="009A42BD"/>
    <w:rsid w:val="009A45DA"/>
    <w:rsid w:val="009A6082"/>
    <w:rsid w:val="009A6FB8"/>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C3C"/>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46"/>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7FD"/>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2C37"/>
    <w:rsid w:val="00A130C8"/>
    <w:rsid w:val="00A13188"/>
    <w:rsid w:val="00A13280"/>
    <w:rsid w:val="00A13AFB"/>
    <w:rsid w:val="00A14045"/>
    <w:rsid w:val="00A14CED"/>
    <w:rsid w:val="00A15278"/>
    <w:rsid w:val="00A15332"/>
    <w:rsid w:val="00A15AEA"/>
    <w:rsid w:val="00A15BEC"/>
    <w:rsid w:val="00A162FA"/>
    <w:rsid w:val="00A16A8E"/>
    <w:rsid w:val="00A17525"/>
    <w:rsid w:val="00A211B5"/>
    <w:rsid w:val="00A21BF0"/>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2E82"/>
    <w:rsid w:val="00A4357A"/>
    <w:rsid w:val="00A43821"/>
    <w:rsid w:val="00A43AD8"/>
    <w:rsid w:val="00A44321"/>
    <w:rsid w:val="00A4474D"/>
    <w:rsid w:val="00A448BE"/>
    <w:rsid w:val="00A450B9"/>
    <w:rsid w:val="00A455BA"/>
    <w:rsid w:val="00A456C6"/>
    <w:rsid w:val="00A45C19"/>
    <w:rsid w:val="00A462CB"/>
    <w:rsid w:val="00A463BE"/>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08FA"/>
    <w:rsid w:val="00A614F5"/>
    <w:rsid w:val="00A61A4C"/>
    <w:rsid w:val="00A62154"/>
    <w:rsid w:val="00A64E3D"/>
    <w:rsid w:val="00A651D3"/>
    <w:rsid w:val="00A654CF"/>
    <w:rsid w:val="00A65681"/>
    <w:rsid w:val="00A65AF5"/>
    <w:rsid w:val="00A65B59"/>
    <w:rsid w:val="00A660CE"/>
    <w:rsid w:val="00A66D47"/>
    <w:rsid w:val="00A67960"/>
    <w:rsid w:val="00A67981"/>
    <w:rsid w:val="00A67A6C"/>
    <w:rsid w:val="00A70065"/>
    <w:rsid w:val="00A70954"/>
    <w:rsid w:val="00A71708"/>
    <w:rsid w:val="00A7243B"/>
    <w:rsid w:val="00A7252D"/>
    <w:rsid w:val="00A728F6"/>
    <w:rsid w:val="00A73D48"/>
    <w:rsid w:val="00A75C5F"/>
    <w:rsid w:val="00A76342"/>
    <w:rsid w:val="00A76AC9"/>
    <w:rsid w:val="00A77992"/>
    <w:rsid w:val="00A77C98"/>
    <w:rsid w:val="00A800AE"/>
    <w:rsid w:val="00A80A5D"/>
    <w:rsid w:val="00A81313"/>
    <w:rsid w:val="00A81D88"/>
    <w:rsid w:val="00A82088"/>
    <w:rsid w:val="00A82A8A"/>
    <w:rsid w:val="00A82EDF"/>
    <w:rsid w:val="00A832F8"/>
    <w:rsid w:val="00A833F4"/>
    <w:rsid w:val="00A834CC"/>
    <w:rsid w:val="00A83E70"/>
    <w:rsid w:val="00A844D1"/>
    <w:rsid w:val="00A85312"/>
    <w:rsid w:val="00A85CBC"/>
    <w:rsid w:val="00A85DAB"/>
    <w:rsid w:val="00A8683F"/>
    <w:rsid w:val="00A86F6F"/>
    <w:rsid w:val="00A872C9"/>
    <w:rsid w:val="00A8764C"/>
    <w:rsid w:val="00A902C4"/>
    <w:rsid w:val="00A90602"/>
    <w:rsid w:val="00A916B8"/>
    <w:rsid w:val="00A92047"/>
    <w:rsid w:val="00A93D61"/>
    <w:rsid w:val="00A941E0"/>
    <w:rsid w:val="00A94A72"/>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760"/>
    <w:rsid w:val="00AA2F81"/>
    <w:rsid w:val="00AA338D"/>
    <w:rsid w:val="00AA3B17"/>
    <w:rsid w:val="00AA43E0"/>
    <w:rsid w:val="00AA4636"/>
    <w:rsid w:val="00AA4B26"/>
    <w:rsid w:val="00AA4C43"/>
    <w:rsid w:val="00AA51C5"/>
    <w:rsid w:val="00AA522F"/>
    <w:rsid w:val="00AA53AD"/>
    <w:rsid w:val="00AA6238"/>
    <w:rsid w:val="00AA62F3"/>
    <w:rsid w:val="00AA7522"/>
    <w:rsid w:val="00AA7F59"/>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016E"/>
    <w:rsid w:val="00AF0628"/>
    <w:rsid w:val="00AF13B8"/>
    <w:rsid w:val="00AF1458"/>
    <w:rsid w:val="00AF15AC"/>
    <w:rsid w:val="00AF1A08"/>
    <w:rsid w:val="00AF273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39D3"/>
    <w:rsid w:val="00B03A84"/>
    <w:rsid w:val="00B045E7"/>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0C1"/>
    <w:rsid w:val="00B452B6"/>
    <w:rsid w:val="00B45D24"/>
    <w:rsid w:val="00B46599"/>
    <w:rsid w:val="00B46AEC"/>
    <w:rsid w:val="00B46CCB"/>
    <w:rsid w:val="00B47C82"/>
    <w:rsid w:val="00B50FEF"/>
    <w:rsid w:val="00B51C36"/>
    <w:rsid w:val="00B51F1C"/>
    <w:rsid w:val="00B522BB"/>
    <w:rsid w:val="00B52330"/>
    <w:rsid w:val="00B5289D"/>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37B1"/>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2712"/>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00"/>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3FB"/>
    <w:rsid w:val="00B93523"/>
    <w:rsid w:val="00B93A9F"/>
    <w:rsid w:val="00B940B4"/>
    <w:rsid w:val="00B9426B"/>
    <w:rsid w:val="00B95780"/>
    <w:rsid w:val="00B95D5F"/>
    <w:rsid w:val="00B961E4"/>
    <w:rsid w:val="00B9795E"/>
    <w:rsid w:val="00BA11B7"/>
    <w:rsid w:val="00BA16C6"/>
    <w:rsid w:val="00BA202C"/>
    <w:rsid w:val="00BA303C"/>
    <w:rsid w:val="00BA39A9"/>
    <w:rsid w:val="00BA3A5D"/>
    <w:rsid w:val="00BA3FCA"/>
    <w:rsid w:val="00BA4F3F"/>
    <w:rsid w:val="00BA50B6"/>
    <w:rsid w:val="00BA5719"/>
    <w:rsid w:val="00BA5A77"/>
    <w:rsid w:val="00BA5C36"/>
    <w:rsid w:val="00BA5E57"/>
    <w:rsid w:val="00BA7047"/>
    <w:rsid w:val="00BA7648"/>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4A0"/>
    <w:rsid w:val="00BC567A"/>
    <w:rsid w:val="00BC6A3C"/>
    <w:rsid w:val="00BC7B54"/>
    <w:rsid w:val="00BC7E72"/>
    <w:rsid w:val="00BD0BF2"/>
    <w:rsid w:val="00BD16B0"/>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3E0D"/>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1EE7"/>
    <w:rsid w:val="00C22061"/>
    <w:rsid w:val="00C22A17"/>
    <w:rsid w:val="00C239C0"/>
    <w:rsid w:val="00C23B85"/>
    <w:rsid w:val="00C23BC9"/>
    <w:rsid w:val="00C240AA"/>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2B80"/>
    <w:rsid w:val="00C43D50"/>
    <w:rsid w:val="00C44308"/>
    <w:rsid w:val="00C45F63"/>
    <w:rsid w:val="00C460B7"/>
    <w:rsid w:val="00C463C0"/>
    <w:rsid w:val="00C47E2F"/>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068"/>
    <w:rsid w:val="00C5669B"/>
    <w:rsid w:val="00C57064"/>
    <w:rsid w:val="00C572E6"/>
    <w:rsid w:val="00C572FC"/>
    <w:rsid w:val="00C57C4E"/>
    <w:rsid w:val="00C57ED4"/>
    <w:rsid w:val="00C606EE"/>
    <w:rsid w:val="00C60ADE"/>
    <w:rsid w:val="00C612EB"/>
    <w:rsid w:val="00C61AE3"/>
    <w:rsid w:val="00C61B70"/>
    <w:rsid w:val="00C623B8"/>
    <w:rsid w:val="00C62EEC"/>
    <w:rsid w:val="00C63DC4"/>
    <w:rsid w:val="00C63EAF"/>
    <w:rsid w:val="00C64CCD"/>
    <w:rsid w:val="00C64EA5"/>
    <w:rsid w:val="00C655F2"/>
    <w:rsid w:val="00C65889"/>
    <w:rsid w:val="00C65B5B"/>
    <w:rsid w:val="00C65CF4"/>
    <w:rsid w:val="00C65E2D"/>
    <w:rsid w:val="00C66579"/>
    <w:rsid w:val="00C667E7"/>
    <w:rsid w:val="00C67FCD"/>
    <w:rsid w:val="00C706BC"/>
    <w:rsid w:val="00C70934"/>
    <w:rsid w:val="00C70B20"/>
    <w:rsid w:val="00C713EA"/>
    <w:rsid w:val="00C71EC1"/>
    <w:rsid w:val="00C7235C"/>
    <w:rsid w:val="00C7380B"/>
    <w:rsid w:val="00C738BA"/>
    <w:rsid w:val="00C73DB9"/>
    <w:rsid w:val="00C743B6"/>
    <w:rsid w:val="00C74678"/>
    <w:rsid w:val="00C748C5"/>
    <w:rsid w:val="00C76B76"/>
    <w:rsid w:val="00C7720E"/>
    <w:rsid w:val="00C804FF"/>
    <w:rsid w:val="00C81528"/>
    <w:rsid w:val="00C8184B"/>
    <w:rsid w:val="00C819F1"/>
    <w:rsid w:val="00C828AD"/>
    <w:rsid w:val="00C828B2"/>
    <w:rsid w:val="00C82B42"/>
    <w:rsid w:val="00C833A6"/>
    <w:rsid w:val="00C8344B"/>
    <w:rsid w:val="00C83551"/>
    <w:rsid w:val="00C83842"/>
    <w:rsid w:val="00C842A6"/>
    <w:rsid w:val="00C843B1"/>
    <w:rsid w:val="00C8500F"/>
    <w:rsid w:val="00C856FB"/>
    <w:rsid w:val="00C85AB8"/>
    <w:rsid w:val="00C862FA"/>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6B96"/>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ADF"/>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818"/>
    <w:rsid w:val="00D25BCE"/>
    <w:rsid w:val="00D2686D"/>
    <w:rsid w:val="00D2761B"/>
    <w:rsid w:val="00D2780C"/>
    <w:rsid w:val="00D30BC4"/>
    <w:rsid w:val="00D31CD5"/>
    <w:rsid w:val="00D3243D"/>
    <w:rsid w:val="00D326FC"/>
    <w:rsid w:val="00D3311E"/>
    <w:rsid w:val="00D33180"/>
    <w:rsid w:val="00D343F9"/>
    <w:rsid w:val="00D34717"/>
    <w:rsid w:val="00D34A9D"/>
    <w:rsid w:val="00D35402"/>
    <w:rsid w:val="00D36628"/>
    <w:rsid w:val="00D3672E"/>
    <w:rsid w:val="00D36C40"/>
    <w:rsid w:val="00D3768A"/>
    <w:rsid w:val="00D40B8E"/>
    <w:rsid w:val="00D41BE5"/>
    <w:rsid w:val="00D42100"/>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320"/>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557"/>
    <w:rsid w:val="00D838F2"/>
    <w:rsid w:val="00D83D6D"/>
    <w:rsid w:val="00D841AA"/>
    <w:rsid w:val="00D845BB"/>
    <w:rsid w:val="00D84E10"/>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4D84"/>
    <w:rsid w:val="00DA6058"/>
    <w:rsid w:val="00DA6E43"/>
    <w:rsid w:val="00DA7057"/>
    <w:rsid w:val="00DA7D01"/>
    <w:rsid w:val="00DB0437"/>
    <w:rsid w:val="00DB1308"/>
    <w:rsid w:val="00DB1E8A"/>
    <w:rsid w:val="00DB2BB8"/>
    <w:rsid w:val="00DB2CDB"/>
    <w:rsid w:val="00DB32CC"/>
    <w:rsid w:val="00DB36E3"/>
    <w:rsid w:val="00DB4190"/>
    <w:rsid w:val="00DB43B0"/>
    <w:rsid w:val="00DB48CA"/>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1E27"/>
    <w:rsid w:val="00DD24D7"/>
    <w:rsid w:val="00DD3696"/>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6D5A"/>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877"/>
    <w:rsid w:val="00E17CDF"/>
    <w:rsid w:val="00E2014D"/>
    <w:rsid w:val="00E20589"/>
    <w:rsid w:val="00E20DE8"/>
    <w:rsid w:val="00E21593"/>
    <w:rsid w:val="00E22012"/>
    <w:rsid w:val="00E2222B"/>
    <w:rsid w:val="00E231E3"/>
    <w:rsid w:val="00E25B95"/>
    <w:rsid w:val="00E25C5F"/>
    <w:rsid w:val="00E260F5"/>
    <w:rsid w:val="00E262DC"/>
    <w:rsid w:val="00E264CE"/>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35A"/>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5D9"/>
    <w:rsid w:val="00E67C71"/>
    <w:rsid w:val="00E67F7A"/>
    <w:rsid w:val="00E714A3"/>
    <w:rsid w:val="00E71B85"/>
    <w:rsid w:val="00E71BD9"/>
    <w:rsid w:val="00E71C20"/>
    <w:rsid w:val="00E721EB"/>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129"/>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50A"/>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663C"/>
    <w:rsid w:val="00ED71AF"/>
    <w:rsid w:val="00EE015C"/>
    <w:rsid w:val="00EE0841"/>
    <w:rsid w:val="00EE0EA9"/>
    <w:rsid w:val="00EE15F2"/>
    <w:rsid w:val="00EE1ABD"/>
    <w:rsid w:val="00EE2172"/>
    <w:rsid w:val="00EE313C"/>
    <w:rsid w:val="00EE3535"/>
    <w:rsid w:val="00EE39D2"/>
    <w:rsid w:val="00EE457C"/>
    <w:rsid w:val="00EE573B"/>
    <w:rsid w:val="00EE5A9F"/>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258A"/>
    <w:rsid w:val="00F13365"/>
    <w:rsid w:val="00F13AFA"/>
    <w:rsid w:val="00F13D55"/>
    <w:rsid w:val="00F1460A"/>
    <w:rsid w:val="00F158DF"/>
    <w:rsid w:val="00F1638A"/>
    <w:rsid w:val="00F16B97"/>
    <w:rsid w:val="00F17570"/>
    <w:rsid w:val="00F17ADC"/>
    <w:rsid w:val="00F20267"/>
    <w:rsid w:val="00F20A95"/>
    <w:rsid w:val="00F21EE9"/>
    <w:rsid w:val="00F22582"/>
    <w:rsid w:val="00F22A5C"/>
    <w:rsid w:val="00F22BB1"/>
    <w:rsid w:val="00F22E8F"/>
    <w:rsid w:val="00F249C7"/>
    <w:rsid w:val="00F254B1"/>
    <w:rsid w:val="00F25B38"/>
    <w:rsid w:val="00F25D98"/>
    <w:rsid w:val="00F265BC"/>
    <w:rsid w:val="00F26D9D"/>
    <w:rsid w:val="00F26EB0"/>
    <w:rsid w:val="00F26F13"/>
    <w:rsid w:val="00F270FC"/>
    <w:rsid w:val="00F27770"/>
    <w:rsid w:val="00F300FB"/>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5BE0"/>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650"/>
    <w:rsid w:val="00F95C43"/>
    <w:rsid w:val="00F95F33"/>
    <w:rsid w:val="00F960D0"/>
    <w:rsid w:val="00F966E4"/>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4C2B"/>
    <w:rsid w:val="00FB5A87"/>
    <w:rsid w:val="00FB5C6B"/>
    <w:rsid w:val="00FB61D8"/>
    <w:rsid w:val="00FB6386"/>
    <w:rsid w:val="00FB73BD"/>
    <w:rsid w:val="00FB74F2"/>
    <w:rsid w:val="00FB7F50"/>
    <w:rsid w:val="00FC009F"/>
    <w:rsid w:val="00FC0C0B"/>
    <w:rsid w:val="00FC22F7"/>
    <w:rsid w:val="00FC29D3"/>
    <w:rsid w:val="00FC2AD8"/>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8C5"/>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2999395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39888185">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74261179">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88E88-1934-48CC-9EC2-AAF7AB426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1752</Words>
  <Characters>9415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2018-10-26T09:04:00Z</dcterms:created>
  <dcterms:modified xsi:type="dcterms:W3CDTF">2018-11-02T19:36:00Z</dcterms:modified>
</cp:coreProperties>
</file>